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附件1</w:t>
      </w:r>
    </w:p>
    <w:p>
      <w:pPr>
        <w:spacing w:line="590" w:lineRule="exact"/>
        <w:jc w:val="center"/>
        <w:textAlignment w:val="baseline"/>
        <w:rPr>
          <w:rFonts w:ascii="方正小标宋简体" w:hAnsi="40" w:eastAsia="方正小标宋简体"/>
          <w:sz w:val="36"/>
          <w:szCs w:val="36"/>
        </w:rPr>
      </w:pPr>
    </w:p>
    <w:p>
      <w:pPr>
        <w:spacing w:line="590" w:lineRule="exact"/>
        <w:jc w:val="center"/>
        <w:textAlignment w:val="baseline"/>
        <w:rPr>
          <w:rFonts w:ascii="宋体" w:hAnsi="宋体" w:eastAsia="宋体"/>
          <w:b/>
          <w:sz w:val="44"/>
          <w:szCs w:val="44"/>
        </w:rPr>
      </w:pPr>
      <w:r>
        <w:rPr>
          <w:rFonts w:hint="eastAsia" w:ascii="宋体" w:hAnsi="宋体" w:eastAsia="宋体"/>
          <w:b/>
          <w:sz w:val="44"/>
          <w:szCs w:val="44"/>
        </w:rPr>
        <w:t>福州市促进电子竞技与数字体育产业</w:t>
      </w:r>
    </w:p>
    <w:p>
      <w:pPr>
        <w:spacing w:line="590" w:lineRule="exact"/>
        <w:jc w:val="center"/>
        <w:textAlignment w:val="baseline"/>
        <w:rPr>
          <w:rFonts w:ascii="宋体" w:hAnsi="宋体" w:eastAsia="宋体"/>
          <w:b/>
          <w:sz w:val="44"/>
          <w:szCs w:val="44"/>
        </w:rPr>
      </w:pPr>
      <w:r>
        <w:rPr>
          <w:rFonts w:hint="eastAsia" w:ascii="宋体" w:hAnsi="宋体" w:eastAsia="宋体"/>
          <w:b/>
          <w:sz w:val="44"/>
          <w:szCs w:val="44"/>
        </w:rPr>
        <w:t>高质量发展的八条措施</w:t>
      </w:r>
    </w:p>
    <w:p>
      <w:pPr>
        <w:snapToGrid w:val="0"/>
        <w:spacing w:line="600" w:lineRule="exact"/>
        <w:ind w:firstLine="720" w:firstLineChars="200"/>
        <w:jc w:val="center"/>
        <w:rPr>
          <w:rFonts w:hint="eastAsia" w:ascii="仿宋_GB2312" w:hAnsi="仿宋_GB2312" w:eastAsia="仿宋_GB2312" w:cs="仿宋_GB2312"/>
          <w:bCs w:val="0"/>
          <w:sz w:val="36"/>
          <w:szCs w:val="36"/>
        </w:rPr>
      </w:pPr>
      <w:r>
        <w:rPr>
          <w:rFonts w:hint="eastAsia" w:ascii="仿宋_GB2312" w:hAnsi="仿宋_GB2312" w:eastAsia="仿宋_GB2312" w:cs="仿宋_GB2312"/>
          <w:bCs w:val="0"/>
          <w:sz w:val="36"/>
          <w:szCs w:val="36"/>
        </w:rPr>
        <w:t>（</w:t>
      </w:r>
      <w:r>
        <w:rPr>
          <w:rFonts w:hint="eastAsia" w:ascii="仿宋_GB2312" w:hAnsi="仿宋_GB2312" w:eastAsia="仿宋_GB2312" w:cs="仿宋_GB2312"/>
          <w:bCs w:val="0"/>
          <w:sz w:val="36"/>
          <w:szCs w:val="36"/>
          <w:lang w:val="en-US" w:eastAsia="zh-CN"/>
        </w:rPr>
        <w:t>征求意见</w:t>
      </w:r>
      <w:r>
        <w:rPr>
          <w:rFonts w:hint="eastAsia" w:ascii="仿宋_GB2312" w:hAnsi="仿宋_GB2312" w:eastAsia="仿宋_GB2312" w:cs="仿宋_GB2312"/>
          <w:bCs w:val="0"/>
          <w:sz w:val="36"/>
          <w:szCs w:val="36"/>
        </w:rPr>
        <w:t>稿）</w:t>
      </w:r>
    </w:p>
    <w:p>
      <w:pPr>
        <w:spacing w:line="590" w:lineRule="exact"/>
        <w:jc w:val="center"/>
        <w:rPr>
          <w:rFonts w:ascii="楷体" w:hAnsi="楷体" w:eastAsia="楷体"/>
          <w:sz w:val="36"/>
          <w:szCs w:val="36"/>
        </w:rPr>
      </w:pPr>
    </w:p>
    <w:p>
      <w:pPr>
        <w:snapToGrid w:val="0"/>
        <w:spacing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为有效发挥福州市作为省会城市的排头兵作用，提高福州市在数字中国战略实施过程中的影响力和辐射力，加快福州建设国家数字经济创新发展试验区，壮大我市数字体育产业整体实力，结合福州实际，特制定本措施。</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一、鼓励电竞与数字体育产品研发</w:t>
      </w:r>
    </w:p>
    <w:p>
      <w:pPr>
        <w:widowControl/>
        <w:spacing w:line="600" w:lineRule="exact"/>
        <w:ind w:firstLine="720" w:firstLineChars="200"/>
        <w:rPr>
          <w:rFonts w:ascii="仿宋_GB2312" w:hAnsi="仿宋" w:eastAsia="仿宋_GB2312" w:cs="仿宋"/>
          <w:b w:val="0"/>
          <w:bCs w:val="0"/>
          <w:color w:val="auto"/>
          <w:kern w:val="0"/>
          <w:sz w:val="36"/>
          <w:szCs w:val="36"/>
          <w:lang w:bidi="ar"/>
        </w:rPr>
      </w:pPr>
      <w:r>
        <w:rPr>
          <w:rFonts w:hint="eastAsia" w:ascii="仿宋_GB2312" w:hAnsi="仿宋" w:eastAsia="仿宋_GB2312" w:cs="仿宋"/>
          <w:b w:val="0"/>
          <w:bCs w:val="0"/>
          <w:color w:val="auto"/>
          <w:kern w:val="0"/>
          <w:sz w:val="36"/>
          <w:szCs w:val="36"/>
          <w:lang w:bidi="ar"/>
        </w:rPr>
        <w:t>鼓励国内外头部游戏厂商、设备制造商、研发机构在我市设立研发中心，支持以电子竞技、工业互联、服务互联、虚拟现实、人工智能为特征的数字体育应用开发。鼓励电竞企业将福州特色文化、特色场景、历史人物等融入电竞内容研发创作。对拥有自主知识产权或合法取得国内原创版权进行研发的电竞游戏产品，给予最高不超过500万的资金扶持。对认定为国家专精特新“小巨人”企业和省级“专精特新”中小企业，在省级奖励基础上，市级财政给予50%配套奖励。</w:t>
      </w:r>
    </w:p>
    <w:p>
      <w:pPr>
        <w:widowControl/>
        <w:spacing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[责任单位：市体育局、市工信局、市大数据委、市财政局，以下均需各县（市）区人民政府，高新区管委会落实，不再列出]</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二、完善电竞产业基础设施</w:t>
      </w:r>
    </w:p>
    <w:p>
      <w:pPr>
        <w:spacing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仿宋" w:eastAsia="仿宋_GB2312" w:cs="仿宋"/>
          <w:b w:val="0"/>
          <w:bCs w:val="0"/>
          <w:color w:val="auto"/>
          <w:sz w:val="36"/>
          <w:szCs w:val="36"/>
        </w:rPr>
        <w:t>鼓励以电竞俱乐部为核心，建设若干集电竞训练、电竞赛事、数字体育培训、电竞酒店等为一体的电竞综合体。对</w:t>
      </w:r>
      <w:r>
        <w:rPr>
          <w:rFonts w:hint="eastAsia" w:ascii="仿宋_GB2312" w:hAnsi="仿宋" w:eastAsia="仿宋_GB2312" w:cs="仿宋"/>
          <w:b w:val="0"/>
          <w:bCs w:val="0"/>
          <w:color w:val="auto"/>
          <w:kern w:val="0"/>
          <w:sz w:val="36"/>
          <w:szCs w:val="36"/>
          <w:lang w:bidi="ar"/>
        </w:rPr>
        <w:t>市场主体新建、改建福建省电竞场馆认定标准的B类电竞场</w:t>
      </w:r>
      <w:r>
        <w:rPr>
          <w:rFonts w:hint="eastAsia" w:ascii="仿宋_GB2312" w:hAnsi="仿宋_GB2312" w:eastAsia="仿宋_GB2312" w:cs="仿宋_GB2312"/>
          <w:b w:val="0"/>
          <w:bCs w:val="0"/>
          <w:color w:val="auto"/>
          <w:sz w:val="36"/>
          <w:szCs w:val="36"/>
        </w:rPr>
        <w:t>馆，给予最高不超过300万元的扶持补助。对我市规划建设的，符合福建省电竞场馆认定标准的A类电竞场馆可申请“一事一议”给予支持；推动电竞与数字体育产业的园区式、集中式发展，鼓励在市、区县级产业园区内设置“数字体育创新小镇”或“电竞小镇”，对符合入驻条件的企业，由其</w:t>
      </w:r>
      <w:r>
        <w:rPr>
          <w:rFonts w:hint="eastAsia" w:ascii="仿宋_GB2312" w:hAnsi="仿宋_GB2312" w:eastAsia="仿宋_GB2312" w:cs="仿宋_GB2312"/>
          <w:b w:val="0"/>
          <w:bCs w:val="0"/>
          <w:color w:val="auto"/>
          <w:sz w:val="36"/>
          <w:szCs w:val="36"/>
          <w:lang w:eastAsia="zh-CN"/>
        </w:rPr>
        <w:t>纳税</w:t>
      </w:r>
      <w:r>
        <w:rPr>
          <w:rFonts w:hint="eastAsia" w:ascii="仿宋_GB2312" w:hAnsi="仿宋_GB2312" w:eastAsia="仿宋_GB2312" w:cs="仿宋_GB2312"/>
          <w:b w:val="0"/>
          <w:bCs w:val="0"/>
          <w:color w:val="auto"/>
          <w:sz w:val="36"/>
          <w:szCs w:val="36"/>
        </w:rPr>
        <w:t>所属</w:t>
      </w:r>
      <w:r>
        <w:rPr>
          <w:rFonts w:hint="eastAsia" w:ascii="仿宋_GB2312" w:hAnsi="仿宋_GB2312" w:eastAsia="仿宋_GB2312" w:cs="仿宋_GB2312"/>
          <w:b w:val="0"/>
          <w:bCs w:val="0"/>
          <w:color w:val="auto"/>
          <w:sz w:val="36"/>
          <w:szCs w:val="36"/>
          <w:lang w:eastAsia="zh-CN"/>
        </w:rPr>
        <w:t>的各县（市）区</w:t>
      </w:r>
      <w:r>
        <w:rPr>
          <w:rFonts w:hint="eastAsia" w:ascii="仿宋_GB2312" w:hAnsi="仿宋_GB2312" w:eastAsia="仿宋_GB2312" w:cs="仿宋_GB2312"/>
          <w:b w:val="0"/>
          <w:bCs w:val="0"/>
          <w:color w:val="auto"/>
          <w:sz w:val="36"/>
          <w:szCs w:val="36"/>
        </w:rPr>
        <w:t>给予房租等相关优惠。</w:t>
      </w:r>
    </w:p>
    <w:p>
      <w:pPr>
        <w:spacing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[责任单位：市体育局、市发改委、市财政局、市商务局、市建设局、市自然资源与规划局]</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三、打造品牌电竞赛事体系</w:t>
      </w:r>
    </w:p>
    <w:p>
      <w:pPr>
        <w:spacing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积极引进国内外知名品牌电竞赛事，大力支持和培育本地IP的电竞赛事。对具有全国或国际影响力的重大品牌赛事和自主培育的本地IP赛事，自有投入金额不低于50万元的，可按照不超过该投入金额的30%给予奖励，最高不超过500万元。</w:t>
      </w:r>
    </w:p>
    <w:p>
      <w:pPr>
        <w:spacing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[责任单位：市体育局、市大数据委、市财政局]</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四、引进与培育高水平电竞俱乐部</w:t>
      </w:r>
    </w:p>
    <w:p>
      <w:pPr>
        <w:widowControl/>
        <w:spacing w:line="600" w:lineRule="exact"/>
        <w:ind w:firstLine="720" w:firstLineChars="200"/>
        <w:jc w:val="left"/>
        <w:rPr>
          <w:rFonts w:ascii="仿宋_GB2312" w:hAnsi="仿宋" w:eastAsia="仿宋_GB2312" w:cs="仿宋"/>
          <w:b w:val="0"/>
          <w:bCs w:val="0"/>
          <w:color w:val="auto"/>
          <w:sz w:val="36"/>
          <w:szCs w:val="36"/>
        </w:rPr>
      </w:pPr>
      <w:r>
        <w:rPr>
          <w:rFonts w:hint="eastAsia" w:ascii="仿宋_GB2312" w:hAnsi="仿宋" w:eastAsia="仿宋_GB2312" w:cs="仿宋"/>
          <w:b w:val="0"/>
          <w:bCs w:val="0"/>
          <w:color w:val="auto"/>
          <w:sz w:val="36"/>
          <w:szCs w:val="36"/>
        </w:rPr>
        <w:t>对注册地和主场设立在我市的高水平电竞联盟总部和国内一线俱乐部，经市政府批准认定的总部企业，实收资本5000万元（含）以上的，可按照实收资本的3%给予开办补助。开办补助金额最高不超过1500万元，分3年安排</w:t>
      </w:r>
      <w:r>
        <w:rPr>
          <w:rFonts w:hint="eastAsia" w:ascii="仿宋_GB2312" w:hAnsi="仿宋" w:eastAsia="仿宋_GB2312" w:cs="仿宋"/>
          <w:b w:val="0"/>
          <w:bCs w:val="0"/>
          <w:color w:val="auto"/>
          <w:sz w:val="36"/>
          <w:szCs w:val="36"/>
          <w:lang w:eastAsia="zh-CN"/>
        </w:rPr>
        <w:t>，</w:t>
      </w:r>
      <w:r>
        <w:rPr>
          <w:rFonts w:hint="eastAsia" w:ascii="仿宋_GB2312" w:hAnsi="仿宋" w:eastAsia="仿宋_GB2312" w:cs="仿宋"/>
          <w:b w:val="0"/>
          <w:bCs w:val="0"/>
          <w:color w:val="auto"/>
          <w:sz w:val="36"/>
          <w:szCs w:val="36"/>
        </w:rPr>
        <w:t>每年不超过企业年度地方贡献；</w:t>
      </w:r>
      <w:r>
        <w:rPr>
          <w:rFonts w:hint="eastAsia" w:ascii="仿宋_GB2312" w:hAnsi="仿宋" w:eastAsia="仿宋_GB2312" w:cs="仿宋"/>
          <w:b w:val="0"/>
          <w:bCs w:val="0"/>
          <w:color w:val="auto"/>
          <w:kern w:val="0"/>
          <w:sz w:val="36"/>
          <w:szCs w:val="36"/>
          <w:lang w:bidi="ar"/>
        </w:rPr>
        <w:t>对经认定的具有全国影响力的俱乐部和第三方赛事组织，给予每年最高不超过 100 万元的补助；</w:t>
      </w:r>
      <w:r>
        <w:rPr>
          <w:rFonts w:hint="eastAsia" w:ascii="仿宋_GB2312" w:hAnsi="仿宋" w:eastAsia="仿宋_GB2312" w:cs="仿宋"/>
          <w:b w:val="0"/>
          <w:bCs w:val="0"/>
          <w:color w:val="auto"/>
          <w:sz w:val="36"/>
          <w:szCs w:val="36"/>
        </w:rPr>
        <w:t>对具有国际影响力的电竞联盟、电竞俱乐部，经认定后，可申请“一企一议”落户；在国内外知名顶级电竞赛事中获得冠、亚、季军的俱乐部、社会组织和企业，可给予每年不超过80万元、60万元、50万元的竞赛奖励。</w:t>
      </w:r>
    </w:p>
    <w:p>
      <w:pPr>
        <w:widowControl/>
        <w:spacing w:line="600" w:lineRule="exact"/>
        <w:ind w:firstLine="720" w:firstLineChars="200"/>
        <w:jc w:val="left"/>
        <w:rPr>
          <w:rFonts w:ascii="仿宋_GB2312" w:hAnsi="仿宋" w:eastAsia="仿宋_GB2312" w:cs="仿宋"/>
          <w:b w:val="0"/>
          <w:bCs w:val="0"/>
          <w:color w:val="auto"/>
          <w:sz w:val="36"/>
          <w:szCs w:val="36"/>
        </w:rPr>
      </w:pPr>
      <w:r>
        <w:rPr>
          <w:rFonts w:hint="eastAsia" w:ascii="仿宋_GB2312" w:hAnsi="仿宋" w:eastAsia="仿宋_GB2312" w:cs="仿宋"/>
          <w:b w:val="0"/>
          <w:bCs w:val="0"/>
          <w:color w:val="auto"/>
          <w:sz w:val="36"/>
          <w:szCs w:val="36"/>
        </w:rPr>
        <w:t>[责任单位：市发改委、市体育局、市财政局]</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五、培育“电竞+文旅”新业态</w:t>
      </w:r>
    </w:p>
    <w:p>
      <w:pPr>
        <w:spacing w:line="600" w:lineRule="exact"/>
        <w:ind w:firstLine="720" w:firstLineChars="200"/>
        <w:rPr>
          <w:rFonts w:hint="eastAsia" w:ascii="仿宋_GB2312" w:hAnsi="仿宋" w:eastAsia="仿宋_GB2312" w:cs="仿宋"/>
          <w:b w:val="0"/>
          <w:bCs w:val="0"/>
          <w:color w:val="auto"/>
          <w:sz w:val="36"/>
          <w:szCs w:val="36"/>
          <w:shd w:val="clear" w:color="auto" w:fill="FFFFFF"/>
        </w:rPr>
      </w:pPr>
      <w:r>
        <w:rPr>
          <w:rFonts w:hint="eastAsia" w:ascii="仿宋_GB2312" w:hAnsi="仿宋" w:eastAsia="仿宋_GB2312" w:cs="仿宋"/>
          <w:b w:val="0"/>
          <w:bCs w:val="0"/>
          <w:color w:val="auto"/>
          <w:sz w:val="36"/>
          <w:szCs w:val="36"/>
          <w:shd w:val="clear" w:color="auto" w:fill="FFFFFF"/>
        </w:rPr>
        <w:t>发挥电子竞技产业的线上跨区域引流优势，以“观赛+体验+旅游”的形式打造若干电竞体育旅游发展带和地标打卡地。经认定的“电竞+文旅”重点项目，在品牌宣传、品牌建设、规划制定、基础设施、项目资金方面享受我市旅游发展专项资金的同等政策。鼓励电竞企业打造电竞主题旅游景区</w:t>
      </w:r>
      <w:r>
        <w:rPr>
          <w:rFonts w:hint="eastAsia" w:ascii="仿宋_GB2312" w:hAnsi="仿宋" w:eastAsia="仿宋_GB2312" w:cs="仿宋"/>
          <w:b w:val="0"/>
          <w:bCs w:val="0"/>
          <w:color w:val="auto"/>
          <w:sz w:val="36"/>
          <w:szCs w:val="36"/>
          <w:shd w:val="clear" w:color="auto" w:fill="FFFFFF"/>
          <w:lang w:eastAsia="zh-CN"/>
        </w:rPr>
        <w:t>，</w:t>
      </w:r>
      <w:r>
        <w:rPr>
          <w:rFonts w:hint="eastAsia" w:ascii="仿宋_GB2312" w:hAnsi="仿宋" w:eastAsia="仿宋_GB2312" w:cs="仿宋"/>
          <w:b w:val="0"/>
          <w:bCs w:val="0"/>
          <w:color w:val="auto"/>
          <w:sz w:val="36"/>
          <w:szCs w:val="36"/>
          <w:shd w:val="clear" w:color="auto" w:fill="FFFFFF"/>
        </w:rPr>
        <w:t>对</w:t>
      </w:r>
      <w:r>
        <w:rPr>
          <w:rFonts w:hint="eastAsia" w:ascii="仿宋_GB2312" w:hAnsi="仿宋" w:eastAsia="仿宋_GB2312" w:cs="仿宋"/>
          <w:b w:val="0"/>
          <w:bCs w:val="0"/>
          <w:color w:val="auto"/>
          <w:sz w:val="36"/>
          <w:szCs w:val="36"/>
          <w:shd w:val="clear" w:color="auto" w:fill="FFFFFF"/>
          <w:lang w:eastAsia="zh-CN"/>
        </w:rPr>
        <w:t>创建国家</w:t>
      </w:r>
      <w:r>
        <w:rPr>
          <w:rFonts w:hint="eastAsia" w:ascii="仿宋_GB2312" w:hAnsi="仿宋" w:eastAsia="仿宋_GB2312" w:cs="仿宋"/>
          <w:b w:val="0"/>
          <w:bCs w:val="0"/>
          <w:color w:val="auto"/>
          <w:sz w:val="36"/>
          <w:szCs w:val="36"/>
          <w:shd w:val="clear" w:color="auto" w:fill="FFFFFF"/>
          <w:lang w:val="en-US" w:eastAsia="zh-CN"/>
        </w:rPr>
        <w:t>3A级及以上的电竞主题旅游景区</w:t>
      </w:r>
      <w:r>
        <w:rPr>
          <w:rFonts w:hint="eastAsia" w:ascii="仿宋_GB2312" w:hAnsi="仿宋" w:eastAsia="仿宋_GB2312" w:cs="仿宋"/>
          <w:b w:val="0"/>
          <w:bCs w:val="0"/>
          <w:color w:val="auto"/>
          <w:sz w:val="36"/>
          <w:szCs w:val="36"/>
          <w:shd w:val="clear" w:color="auto" w:fill="FFFFFF"/>
        </w:rPr>
        <w:t>，电竞类基础设施项目建设投资达到</w:t>
      </w:r>
      <w:r>
        <w:rPr>
          <w:rFonts w:hint="eastAsia" w:ascii="仿宋_GB2312" w:hAnsi="仿宋" w:eastAsia="仿宋_GB2312" w:cs="仿宋"/>
          <w:b w:val="0"/>
          <w:bCs w:val="0"/>
          <w:color w:val="auto"/>
          <w:sz w:val="36"/>
          <w:szCs w:val="36"/>
          <w:shd w:val="clear" w:color="auto" w:fill="FFFFFF"/>
          <w:lang w:val="en-US" w:eastAsia="zh-CN"/>
        </w:rPr>
        <w:t>10</w:t>
      </w:r>
      <w:r>
        <w:rPr>
          <w:rFonts w:hint="eastAsia" w:ascii="仿宋_GB2312" w:hAnsi="仿宋" w:eastAsia="仿宋_GB2312" w:cs="仿宋"/>
          <w:b w:val="0"/>
          <w:bCs w:val="0"/>
          <w:color w:val="auto"/>
          <w:sz w:val="36"/>
          <w:szCs w:val="36"/>
          <w:shd w:val="clear" w:color="auto" w:fill="FFFFFF"/>
        </w:rPr>
        <w:t>0万元的，</w:t>
      </w:r>
      <w:r>
        <w:rPr>
          <w:rFonts w:hint="eastAsia" w:ascii="仿宋_GB2312" w:hAnsi="仿宋" w:eastAsia="仿宋_GB2312" w:cs="仿宋"/>
          <w:b w:val="0"/>
          <w:bCs w:val="0"/>
          <w:color w:val="auto"/>
          <w:sz w:val="36"/>
          <w:szCs w:val="36"/>
          <w:shd w:val="clear" w:color="auto" w:fill="FFFFFF"/>
          <w:lang w:eastAsia="zh-CN"/>
        </w:rPr>
        <w:t>给予</w:t>
      </w:r>
      <w:r>
        <w:rPr>
          <w:rFonts w:hint="eastAsia" w:ascii="仿宋_GB2312" w:hAnsi="仿宋" w:eastAsia="仿宋_GB2312" w:cs="仿宋"/>
          <w:b w:val="0"/>
          <w:bCs w:val="0"/>
          <w:color w:val="auto"/>
          <w:sz w:val="36"/>
          <w:szCs w:val="36"/>
          <w:shd w:val="clear" w:color="auto" w:fill="FFFFFF"/>
        </w:rPr>
        <w:t>一次性奖励</w:t>
      </w:r>
      <w:r>
        <w:rPr>
          <w:rFonts w:hint="eastAsia" w:ascii="仿宋_GB2312" w:hAnsi="仿宋" w:eastAsia="仿宋_GB2312" w:cs="仿宋"/>
          <w:b w:val="0"/>
          <w:bCs w:val="0"/>
          <w:color w:val="auto"/>
          <w:sz w:val="36"/>
          <w:szCs w:val="36"/>
          <w:shd w:val="clear" w:color="auto" w:fill="FFFFFF"/>
          <w:lang w:val="en-US" w:eastAsia="zh-CN"/>
        </w:rPr>
        <w:t>30</w:t>
      </w:r>
      <w:r>
        <w:rPr>
          <w:rFonts w:hint="eastAsia" w:ascii="仿宋_GB2312" w:hAnsi="仿宋" w:eastAsia="仿宋_GB2312" w:cs="仿宋"/>
          <w:b w:val="0"/>
          <w:bCs w:val="0"/>
          <w:color w:val="auto"/>
          <w:sz w:val="36"/>
          <w:szCs w:val="36"/>
          <w:shd w:val="clear" w:color="auto" w:fill="FFFFFF"/>
        </w:rPr>
        <w:t>万元。</w:t>
      </w:r>
    </w:p>
    <w:p>
      <w:pPr>
        <w:snapToGrid w:val="0"/>
        <w:spacing w:line="600" w:lineRule="exact"/>
        <w:ind w:firstLine="720" w:firstLineChars="200"/>
        <w:rPr>
          <w:rFonts w:hint="eastAsia" w:ascii="仿宋_GB2312" w:hAnsi="仿宋" w:eastAsia="仿宋_GB2312" w:cs="仿宋"/>
          <w:b w:val="0"/>
          <w:bCs w:val="0"/>
          <w:color w:val="auto"/>
          <w:sz w:val="36"/>
          <w:szCs w:val="36"/>
          <w:shd w:val="clear" w:color="auto" w:fill="FFFFFF"/>
        </w:rPr>
      </w:pPr>
      <w:r>
        <w:rPr>
          <w:rFonts w:hint="eastAsia" w:ascii="仿宋_GB2312" w:hAnsi="仿宋" w:eastAsia="仿宋_GB2312" w:cs="仿宋"/>
          <w:b w:val="0"/>
          <w:bCs w:val="0"/>
          <w:color w:val="auto"/>
          <w:sz w:val="36"/>
          <w:szCs w:val="36"/>
          <w:shd w:val="clear" w:color="auto" w:fill="FFFFFF"/>
        </w:rPr>
        <w:t>[责任单位：市体育局、市文旅局</w:t>
      </w:r>
      <w:r>
        <w:rPr>
          <w:rFonts w:hint="eastAsia" w:ascii="仿宋_GB2312" w:hAnsi="仿宋" w:eastAsia="仿宋_GB2312" w:cs="仿宋"/>
          <w:b w:val="0"/>
          <w:bCs w:val="0"/>
          <w:color w:val="auto"/>
          <w:sz w:val="36"/>
          <w:szCs w:val="36"/>
          <w:shd w:val="clear" w:color="auto" w:fill="FFFFFF"/>
          <w:lang w:eastAsia="zh-CN"/>
        </w:rPr>
        <w:t>、</w:t>
      </w:r>
      <w:r>
        <w:rPr>
          <w:rFonts w:hint="eastAsia" w:ascii="仿宋_GB2312" w:hAnsi="仿宋" w:eastAsia="仿宋_GB2312" w:cs="仿宋"/>
          <w:b w:val="0"/>
          <w:bCs w:val="0"/>
          <w:color w:val="auto"/>
          <w:sz w:val="36"/>
          <w:szCs w:val="36"/>
          <w:shd w:val="clear" w:color="auto" w:fill="FFFFFF"/>
        </w:rPr>
        <w:t>市财政局]</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六、加强电竞产业技术支撑</w:t>
      </w:r>
    </w:p>
    <w:p>
      <w:pPr>
        <w:widowControl/>
        <w:spacing w:line="600" w:lineRule="exact"/>
        <w:ind w:firstLine="720" w:firstLineChars="200"/>
        <w:rPr>
          <w:rFonts w:ascii="仿宋_GB2312" w:hAnsi="仿宋" w:eastAsia="仿宋_GB2312" w:cs="仿宋"/>
          <w:b w:val="0"/>
          <w:bCs w:val="0"/>
          <w:color w:val="auto"/>
          <w:sz w:val="36"/>
          <w:szCs w:val="36"/>
          <w:shd w:val="clear" w:color="auto" w:fill="FFFFFF"/>
        </w:rPr>
      </w:pPr>
      <w:r>
        <w:rPr>
          <w:rFonts w:hint="eastAsia" w:ascii="仿宋_GB2312" w:hAnsi="仿宋" w:eastAsia="仿宋_GB2312" w:cs="仿宋"/>
          <w:b w:val="0"/>
          <w:bCs w:val="0"/>
          <w:color w:val="auto"/>
          <w:sz w:val="36"/>
          <w:szCs w:val="36"/>
          <w:shd w:val="clear" w:color="auto" w:fill="FFFFFF"/>
        </w:rPr>
        <w:t>支持举办符合福州数字体育产业发展方向，具备国际影响力，有助形成长期品牌效应的电竞与数字体育产业论坛、展会、人才交流活动，每个按不超过实际发生费用50%的比例给予资助，每家单位每年不超过100万元；</w:t>
      </w:r>
      <w:r>
        <w:rPr>
          <w:rFonts w:hint="eastAsia" w:ascii="仿宋_GB2312" w:hAnsi="仿宋" w:eastAsia="仿宋_GB2312" w:cs="仿宋"/>
          <w:b w:val="0"/>
          <w:bCs w:val="0"/>
          <w:color w:val="auto"/>
          <w:sz w:val="36"/>
          <w:szCs w:val="36"/>
        </w:rPr>
        <w:t>支持开展电子竞技和数字体育产</w:t>
      </w:r>
      <w:r>
        <w:rPr>
          <w:rFonts w:hint="eastAsia" w:ascii="仿宋_GB2312" w:hAnsi="仿宋" w:eastAsia="仿宋_GB2312" w:cs="仿宋"/>
          <w:b w:val="0"/>
          <w:bCs w:val="0"/>
          <w:color w:val="auto"/>
          <w:sz w:val="36"/>
          <w:szCs w:val="36"/>
          <w:shd w:val="clear" w:color="auto" w:fill="FFFFFF"/>
        </w:rPr>
        <w:t>业的科学研究活动，对获得省级以上立项的研究课题按照项目金额给予50%的配套奖励；支持开展电竞与数字体育相关标准研制工作，主导、参与制定及修订国际、国家及福建省地方标准，</w:t>
      </w:r>
      <w:r>
        <w:rPr>
          <w:rFonts w:hint="eastAsia" w:ascii="仿宋_GB2312" w:hAnsi="仿宋" w:eastAsia="仿宋_GB2312" w:cs="仿宋"/>
          <w:b w:val="0"/>
          <w:bCs w:val="0"/>
          <w:color w:val="auto"/>
          <w:kern w:val="0"/>
          <w:sz w:val="36"/>
          <w:szCs w:val="36"/>
          <w:lang w:bidi="ar"/>
        </w:rPr>
        <w:t>在省级奖励基础上，市级财政给予50%配套奖励。</w:t>
      </w:r>
    </w:p>
    <w:p>
      <w:pPr>
        <w:pStyle w:val="11"/>
        <w:widowControl/>
        <w:spacing w:beforeAutospacing="0" w:afterAutospacing="0"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[责任单位：市体育局、市市场监管局、市财政局]</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七、大力发展电竞与数字体育教育产业</w:t>
      </w:r>
    </w:p>
    <w:p>
      <w:pPr>
        <w:pStyle w:val="11"/>
        <w:widowControl/>
        <w:spacing w:beforeAutospacing="0" w:afterAutospacing="0" w:line="600" w:lineRule="exact"/>
        <w:ind w:firstLine="720" w:firstLineChars="200"/>
        <w:rPr>
          <w:rFonts w:ascii="仿宋_GB2312" w:hAnsi="仿宋" w:eastAsia="仿宋_GB2312" w:cs="仿宋"/>
          <w:b w:val="0"/>
          <w:bCs w:val="0"/>
          <w:color w:val="auto"/>
          <w:sz w:val="36"/>
          <w:szCs w:val="36"/>
        </w:rPr>
      </w:pPr>
      <w:r>
        <w:rPr>
          <w:rFonts w:hint="eastAsia" w:ascii="仿宋_GB2312" w:hAnsi="仿宋" w:eastAsia="仿宋_GB2312" w:cs="仿宋"/>
          <w:b w:val="0"/>
          <w:bCs w:val="0"/>
          <w:color w:val="auto"/>
          <w:sz w:val="36"/>
          <w:szCs w:val="36"/>
          <w:shd w:val="clear" w:color="auto" w:fill="FFFFFF"/>
        </w:rPr>
        <w:t>支持我市大中专院校开办电竞或数字体育教育专业，经教育</w:t>
      </w:r>
      <w:r>
        <w:rPr>
          <w:rFonts w:hint="eastAsia" w:ascii="仿宋_GB2312" w:hAnsi="仿宋" w:eastAsia="仿宋_GB2312" w:cs="仿宋"/>
          <w:b w:val="0"/>
          <w:bCs w:val="0"/>
          <w:color w:val="auto"/>
          <w:sz w:val="36"/>
          <w:szCs w:val="36"/>
          <w:shd w:val="clear" w:color="auto" w:fill="FFFFFF"/>
          <w:lang w:eastAsia="zh-CN"/>
        </w:rPr>
        <w:t>、人社</w:t>
      </w:r>
      <w:r>
        <w:rPr>
          <w:rFonts w:hint="eastAsia" w:ascii="仿宋_GB2312" w:hAnsi="仿宋" w:eastAsia="仿宋_GB2312" w:cs="仿宋"/>
          <w:b w:val="0"/>
          <w:bCs w:val="0"/>
          <w:color w:val="auto"/>
          <w:sz w:val="36"/>
          <w:szCs w:val="36"/>
          <w:shd w:val="clear" w:color="auto" w:fill="FFFFFF"/>
        </w:rPr>
        <w:t>部门批准的电竞或数字体育教育专业，给予开办单位一次性奖励50万元；支持行业协会、教育单位、民非机构和企业从事电竞培训活动，对符合条件的培训机构按照教学设备和师资投入的30%给予一次性补贴，最高不超过50万元；租用教室的电竞培训机构，按照实际支付租金的30%给予补贴，最高不超过30万元；对经各级教育、人社部门批准举办的、自有投入金额50万元以上的电子竞技、数字体育人才职业技能大赛</w:t>
      </w:r>
      <w:r>
        <w:rPr>
          <w:rFonts w:hint="eastAsia" w:ascii="仿宋_GB2312" w:hAnsi="仿宋" w:eastAsia="仿宋_GB2312" w:cs="仿宋"/>
          <w:b w:val="0"/>
          <w:bCs w:val="0"/>
          <w:color w:val="auto"/>
          <w:sz w:val="36"/>
          <w:szCs w:val="36"/>
        </w:rPr>
        <w:t>，可按不超过该投入金额的30%给予奖励，最高不超过50万元</w:t>
      </w:r>
      <w:r>
        <w:rPr>
          <w:rFonts w:hint="eastAsia" w:ascii="仿宋_GB2312" w:hAnsi="仿宋" w:eastAsia="仿宋_GB2312" w:cs="仿宋"/>
          <w:b w:val="0"/>
          <w:bCs w:val="0"/>
          <w:color w:val="auto"/>
          <w:sz w:val="36"/>
          <w:szCs w:val="36"/>
          <w:shd w:val="clear" w:color="auto" w:fill="FFFFFF"/>
        </w:rPr>
        <w:t>。</w:t>
      </w:r>
    </w:p>
    <w:p>
      <w:pPr>
        <w:spacing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[责任单位：市教育局、市人社局、市体育局、市财政局]</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八、加快引进电竞与数字体育专业人才</w:t>
      </w:r>
    </w:p>
    <w:p>
      <w:pPr>
        <w:snapToGrid w:val="0"/>
        <w:spacing w:line="600" w:lineRule="exact"/>
        <w:ind w:firstLine="720" w:firstLineChars="200"/>
        <w:rPr>
          <w:rFonts w:ascii="仿宋_GB2312" w:hAnsi="仿宋" w:eastAsia="仿宋_GB2312" w:cs="仿宋"/>
          <w:b w:val="0"/>
          <w:bCs w:val="0"/>
          <w:color w:val="auto"/>
          <w:sz w:val="36"/>
          <w:szCs w:val="36"/>
        </w:rPr>
      </w:pPr>
      <w:r>
        <w:rPr>
          <w:rFonts w:hint="eastAsia" w:ascii="仿宋_GB2312" w:hAnsi="仿宋" w:eastAsia="仿宋_GB2312" w:cs="仿宋"/>
          <w:b w:val="0"/>
          <w:bCs w:val="0"/>
          <w:color w:val="auto"/>
          <w:sz w:val="36"/>
          <w:szCs w:val="36"/>
        </w:rPr>
        <w:t>积极引进电竞与数字体育产业的国内外优秀运动员、教练员、经理人、企业家、专业技术人员、科研人才落户福州，享受省、市政府出台的有关人才引进政策；支持符合条件的人才申报省、市高层次人才，经认定的人才可享受“闽都英才卡”相应层次待遇；支持符合《“好年华聚福州”人才住房保障办法》的电竞人才申报市级人才住房保障政策。</w:t>
      </w:r>
    </w:p>
    <w:p>
      <w:pPr>
        <w:spacing w:line="600" w:lineRule="exact"/>
        <w:ind w:firstLine="720" w:firstLineChars="200"/>
        <w:rPr>
          <w:rFonts w:ascii="仿宋_GB2312" w:hAnsi="宋体" w:eastAsia="仿宋_GB2312"/>
          <w:b w:val="0"/>
          <w:bCs w:val="0"/>
          <w:color w:val="auto"/>
          <w:sz w:val="36"/>
          <w:szCs w:val="36"/>
        </w:rPr>
      </w:pPr>
      <w:r>
        <w:rPr>
          <w:rFonts w:hint="eastAsia" w:ascii="仿宋_GB2312" w:hAnsi="仿宋_GB2312" w:eastAsia="仿宋_GB2312" w:cs="仿宋_GB2312"/>
          <w:b w:val="0"/>
          <w:bCs w:val="0"/>
          <w:color w:val="auto"/>
          <w:sz w:val="36"/>
          <w:szCs w:val="36"/>
        </w:rPr>
        <w:t>[责任单位：市人社局、市体育局、市财政局]</w:t>
      </w:r>
    </w:p>
    <w:p>
      <w:pPr>
        <w:snapToGrid w:val="0"/>
        <w:spacing w:line="600" w:lineRule="exact"/>
        <w:ind w:firstLine="720" w:firstLineChars="200"/>
        <w:rPr>
          <w:rFonts w:ascii="黑体" w:hAnsi="黑体" w:eastAsia="黑体" w:cs="Times New Roman"/>
          <w:b w:val="0"/>
          <w:bCs w:val="0"/>
          <w:color w:val="auto"/>
          <w:sz w:val="36"/>
          <w:szCs w:val="36"/>
          <w:shd w:val="clear" w:color="auto" w:fill="FFFFFF"/>
        </w:rPr>
      </w:pPr>
      <w:r>
        <w:rPr>
          <w:rFonts w:hint="eastAsia" w:ascii="黑体" w:hAnsi="黑体" w:eastAsia="黑体" w:cs="Times New Roman"/>
          <w:b w:val="0"/>
          <w:bCs w:val="0"/>
          <w:color w:val="auto"/>
          <w:sz w:val="36"/>
          <w:szCs w:val="36"/>
          <w:shd w:val="clear" w:color="auto" w:fill="FFFFFF"/>
        </w:rPr>
        <w:t xml:space="preserve"> 附则</w:t>
      </w:r>
    </w:p>
    <w:p>
      <w:pPr>
        <w:snapToGrid w:val="0"/>
        <w:spacing w:line="600" w:lineRule="exact"/>
        <w:ind w:firstLine="720" w:firstLineChars="200"/>
        <w:rPr>
          <w:rFonts w:ascii="仿宋_GB2312" w:hAnsi="Times New Roman" w:eastAsia="仿宋_GB2312" w:cs="Times New Roman"/>
          <w:b w:val="0"/>
          <w:bCs w:val="0"/>
          <w:color w:val="auto"/>
          <w:sz w:val="36"/>
          <w:szCs w:val="36"/>
          <w:shd w:val="clear" w:color="auto" w:fill="FFFFFF"/>
        </w:rPr>
      </w:pPr>
      <w:r>
        <w:rPr>
          <w:rFonts w:hint="eastAsia" w:ascii="仿宋_GB2312" w:hAnsi="Times New Roman" w:eastAsia="仿宋_GB2312" w:cs="Times New Roman"/>
          <w:b w:val="0"/>
          <w:bCs w:val="0"/>
          <w:color w:val="auto"/>
          <w:sz w:val="36"/>
          <w:szCs w:val="36"/>
          <w:shd w:val="clear" w:color="auto" w:fill="FFFFFF"/>
        </w:rPr>
        <w:t>1.本政策所需资金，除“延续促进总部经济发展政策补助”、“旅游发展专项资金”、“人才住房保障”资金由原政策执行单位负责外，新增项目奖励资金由市财政统筹安排，并纳入市体育局年度预算。</w:t>
      </w:r>
    </w:p>
    <w:p>
      <w:pPr>
        <w:snapToGrid w:val="0"/>
        <w:spacing w:line="600" w:lineRule="exact"/>
        <w:ind w:firstLine="720" w:firstLineChars="200"/>
        <w:rPr>
          <w:rFonts w:ascii="仿宋_GB2312" w:hAnsi="Times New Roman" w:eastAsia="仿宋_GB2312" w:cs="Times New Roman"/>
          <w:b w:val="0"/>
          <w:bCs w:val="0"/>
          <w:color w:val="auto"/>
          <w:sz w:val="36"/>
          <w:szCs w:val="36"/>
          <w:shd w:val="clear" w:color="auto" w:fill="FFFFFF"/>
        </w:rPr>
      </w:pPr>
      <w:r>
        <w:rPr>
          <w:rFonts w:hint="eastAsia" w:ascii="仿宋_GB2312" w:hAnsi="Times New Roman" w:eastAsia="仿宋_GB2312" w:cs="Times New Roman"/>
          <w:b w:val="0"/>
          <w:bCs w:val="0"/>
          <w:color w:val="auto"/>
          <w:sz w:val="36"/>
          <w:szCs w:val="36"/>
          <w:shd w:val="clear" w:color="auto" w:fill="FFFFFF"/>
        </w:rPr>
        <w:t>2.相关项目、事项同时符合我市其他优惠政策规定或项目招商引资协议已明确相关优惠政策的，按原有政策执行。如本政策高于原政策，按“就高不重复”原则执行。除人才激励政策外，企业申请的各类补助和奖励，累计额不超过当年度企业对我市地方贡献额。</w:t>
      </w:r>
    </w:p>
    <w:p>
      <w:pPr>
        <w:snapToGrid w:val="0"/>
        <w:spacing w:line="600" w:lineRule="exact"/>
        <w:ind w:firstLine="720" w:firstLineChars="200"/>
        <w:rPr>
          <w:rFonts w:ascii="仿宋_GB2312" w:hAnsi="Times New Roman" w:eastAsia="仿宋_GB2312" w:cs="Times New Roman"/>
          <w:b w:val="0"/>
          <w:bCs w:val="0"/>
          <w:color w:val="auto"/>
          <w:sz w:val="36"/>
          <w:szCs w:val="36"/>
          <w:shd w:val="clear" w:color="auto" w:fill="FFFFFF"/>
        </w:rPr>
      </w:pPr>
      <w:r>
        <w:rPr>
          <w:rFonts w:hint="eastAsia" w:ascii="仿宋_GB2312" w:hAnsi="Times New Roman" w:eastAsia="仿宋_GB2312" w:cs="Times New Roman"/>
          <w:b w:val="0"/>
          <w:bCs w:val="0"/>
          <w:color w:val="auto"/>
          <w:sz w:val="36"/>
          <w:szCs w:val="36"/>
          <w:shd w:val="clear" w:color="auto" w:fill="FFFFFF"/>
        </w:rPr>
        <w:t>3.本政策有效期内，同类项目仅可获得“一次性”奖励，对已获得奖励的项目，如因主体变更，在本措施规定时限内，不再予以奖励。</w:t>
      </w:r>
    </w:p>
    <w:p>
      <w:pPr>
        <w:snapToGrid w:val="0"/>
        <w:spacing w:line="600" w:lineRule="exact"/>
        <w:ind w:firstLine="720" w:firstLineChars="200"/>
        <w:rPr>
          <w:rFonts w:ascii="仿宋_GB2312" w:hAnsi="Times New Roman" w:eastAsia="仿宋_GB2312" w:cs="Times New Roman"/>
          <w:b w:val="0"/>
          <w:bCs w:val="0"/>
          <w:color w:val="auto"/>
          <w:sz w:val="36"/>
          <w:szCs w:val="36"/>
          <w:shd w:val="clear" w:color="auto" w:fill="FFFFFF"/>
        </w:rPr>
      </w:pPr>
      <w:r>
        <w:rPr>
          <w:rFonts w:hint="eastAsia" w:ascii="仿宋_GB2312" w:hAnsi="Times New Roman" w:eastAsia="仿宋_GB2312" w:cs="Times New Roman"/>
          <w:b w:val="0"/>
          <w:bCs w:val="0"/>
          <w:color w:val="auto"/>
          <w:sz w:val="36"/>
          <w:szCs w:val="36"/>
          <w:shd w:val="clear" w:color="auto" w:fill="FFFFFF"/>
        </w:rPr>
        <w:t>4.本政策由市体育局负责解释。</w:t>
      </w:r>
    </w:p>
    <w:p>
      <w:pPr>
        <w:snapToGrid w:val="0"/>
        <w:spacing w:line="600" w:lineRule="exact"/>
        <w:ind w:firstLine="720" w:firstLineChars="200"/>
        <w:rPr>
          <w:rFonts w:ascii="仿宋_GB2312" w:hAnsi="仿宋_GB2312" w:eastAsia="仿宋_GB2312" w:cs="仿宋_GB2312"/>
          <w:b w:val="0"/>
          <w:bCs w:val="0"/>
          <w:color w:val="auto"/>
          <w:sz w:val="36"/>
          <w:szCs w:val="36"/>
        </w:rPr>
      </w:pPr>
      <w:r>
        <w:rPr>
          <w:rFonts w:hint="eastAsia" w:ascii="仿宋_GB2312" w:hAnsi="Times New Roman" w:eastAsia="仿宋_GB2312" w:cs="Times New Roman"/>
          <w:b w:val="0"/>
          <w:bCs w:val="0"/>
          <w:color w:val="auto"/>
          <w:sz w:val="36"/>
          <w:szCs w:val="36"/>
          <w:shd w:val="clear" w:color="auto" w:fill="FFFFFF"/>
        </w:rPr>
        <w:t>5.本政策自发布之日起执行，有效期至2025年12月31日止。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40">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ZWU4YmI3OGI2NmE1YWYwZjVjMjMzOGVlYTg1MjgifQ=="/>
  </w:docVars>
  <w:rsids>
    <w:rsidRoot w:val="005A2A35"/>
    <w:rsid w:val="0003325E"/>
    <w:rsid w:val="000377D5"/>
    <w:rsid w:val="0004391A"/>
    <w:rsid w:val="000F181C"/>
    <w:rsid w:val="00151528"/>
    <w:rsid w:val="001936E6"/>
    <w:rsid w:val="001B0937"/>
    <w:rsid w:val="00202B45"/>
    <w:rsid w:val="00267E1A"/>
    <w:rsid w:val="002A238B"/>
    <w:rsid w:val="002D74F9"/>
    <w:rsid w:val="002F1095"/>
    <w:rsid w:val="00304ADA"/>
    <w:rsid w:val="0032600C"/>
    <w:rsid w:val="003D249D"/>
    <w:rsid w:val="003E0065"/>
    <w:rsid w:val="00407D84"/>
    <w:rsid w:val="00411643"/>
    <w:rsid w:val="00493AE4"/>
    <w:rsid w:val="004C1D4A"/>
    <w:rsid w:val="00544497"/>
    <w:rsid w:val="00576183"/>
    <w:rsid w:val="005A2A35"/>
    <w:rsid w:val="005B1F1B"/>
    <w:rsid w:val="005B2222"/>
    <w:rsid w:val="005E2554"/>
    <w:rsid w:val="00601FC3"/>
    <w:rsid w:val="00623F8F"/>
    <w:rsid w:val="006259A5"/>
    <w:rsid w:val="006524AF"/>
    <w:rsid w:val="00660578"/>
    <w:rsid w:val="006D2DF1"/>
    <w:rsid w:val="006E1EDC"/>
    <w:rsid w:val="007249ED"/>
    <w:rsid w:val="007629EA"/>
    <w:rsid w:val="008327E4"/>
    <w:rsid w:val="00840FA6"/>
    <w:rsid w:val="008C4C2C"/>
    <w:rsid w:val="00927939"/>
    <w:rsid w:val="0097125D"/>
    <w:rsid w:val="00A42259"/>
    <w:rsid w:val="00A4574D"/>
    <w:rsid w:val="00A553EB"/>
    <w:rsid w:val="00AB2B70"/>
    <w:rsid w:val="00AE6A49"/>
    <w:rsid w:val="00BF05AF"/>
    <w:rsid w:val="00C30666"/>
    <w:rsid w:val="00C54C0C"/>
    <w:rsid w:val="00C94F63"/>
    <w:rsid w:val="00CF162C"/>
    <w:rsid w:val="00D11F99"/>
    <w:rsid w:val="00D42B4E"/>
    <w:rsid w:val="00D82F4F"/>
    <w:rsid w:val="00D830BB"/>
    <w:rsid w:val="00D96F16"/>
    <w:rsid w:val="00DE004F"/>
    <w:rsid w:val="00DF7C41"/>
    <w:rsid w:val="00E6548C"/>
    <w:rsid w:val="00F376D9"/>
    <w:rsid w:val="00F872B4"/>
    <w:rsid w:val="00F93620"/>
    <w:rsid w:val="00FD682A"/>
    <w:rsid w:val="00FF526C"/>
    <w:rsid w:val="01A637C0"/>
    <w:rsid w:val="042C3E2F"/>
    <w:rsid w:val="05953718"/>
    <w:rsid w:val="060D2EAF"/>
    <w:rsid w:val="076A0FBD"/>
    <w:rsid w:val="076D4EBE"/>
    <w:rsid w:val="07A138A5"/>
    <w:rsid w:val="08717444"/>
    <w:rsid w:val="09756A9D"/>
    <w:rsid w:val="09807A73"/>
    <w:rsid w:val="099F642D"/>
    <w:rsid w:val="0C5B102E"/>
    <w:rsid w:val="0DAD0663"/>
    <w:rsid w:val="0DEF0F08"/>
    <w:rsid w:val="0E0916E5"/>
    <w:rsid w:val="0E414D80"/>
    <w:rsid w:val="0F357FF0"/>
    <w:rsid w:val="13CB33A4"/>
    <w:rsid w:val="14D80CCA"/>
    <w:rsid w:val="162736AD"/>
    <w:rsid w:val="17691B56"/>
    <w:rsid w:val="180F62F0"/>
    <w:rsid w:val="196F39DB"/>
    <w:rsid w:val="1B1045D8"/>
    <w:rsid w:val="1BE9038D"/>
    <w:rsid w:val="1D4D2843"/>
    <w:rsid w:val="1E3907BA"/>
    <w:rsid w:val="1E3D6DD2"/>
    <w:rsid w:val="22EF2DA2"/>
    <w:rsid w:val="22F61B5D"/>
    <w:rsid w:val="23542DC0"/>
    <w:rsid w:val="235605DC"/>
    <w:rsid w:val="259C3A26"/>
    <w:rsid w:val="26B138F1"/>
    <w:rsid w:val="273C4799"/>
    <w:rsid w:val="28D55F82"/>
    <w:rsid w:val="2B3421A4"/>
    <w:rsid w:val="2DC33592"/>
    <w:rsid w:val="2E3F29F8"/>
    <w:rsid w:val="2F5248B3"/>
    <w:rsid w:val="2FE74CA8"/>
    <w:rsid w:val="301E0C20"/>
    <w:rsid w:val="31AC77B7"/>
    <w:rsid w:val="33285098"/>
    <w:rsid w:val="35E813CF"/>
    <w:rsid w:val="36331B72"/>
    <w:rsid w:val="36421FD6"/>
    <w:rsid w:val="37976071"/>
    <w:rsid w:val="3808592E"/>
    <w:rsid w:val="38185543"/>
    <w:rsid w:val="38862727"/>
    <w:rsid w:val="392EDBBF"/>
    <w:rsid w:val="3A395964"/>
    <w:rsid w:val="3B997C07"/>
    <w:rsid w:val="3DE94611"/>
    <w:rsid w:val="3F81764F"/>
    <w:rsid w:val="3FE7D831"/>
    <w:rsid w:val="40957C17"/>
    <w:rsid w:val="41B1082B"/>
    <w:rsid w:val="42722554"/>
    <w:rsid w:val="42831584"/>
    <w:rsid w:val="45835BF4"/>
    <w:rsid w:val="45E631CB"/>
    <w:rsid w:val="46DB34EE"/>
    <w:rsid w:val="4B3A0831"/>
    <w:rsid w:val="4C831847"/>
    <w:rsid w:val="4D386F9E"/>
    <w:rsid w:val="4DAF2483"/>
    <w:rsid w:val="4FAA3FB5"/>
    <w:rsid w:val="4FAB26BD"/>
    <w:rsid w:val="53C90F08"/>
    <w:rsid w:val="55706E18"/>
    <w:rsid w:val="55862048"/>
    <w:rsid w:val="55D06436"/>
    <w:rsid w:val="57131E2A"/>
    <w:rsid w:val="58373BFC"/>
    <w:rsid w:val="58C84AB5"/>
    <w:rsid w:val="59436531"/>
    <w:rsid w:val="5A140D51"/>
    <w:rsid w:val="5B7907D2"/>
    <w:rsid w:val="5C1070B8"/>
    <w:rsid w:val="5CE6610F"/>
    <w:rsid w:val="5DAB35F4"/>
    <w:rsid w:val="5E046529"/>
    <w:rsid w:val="5E8D15A2"/>
    <w:rsid w:val="5EAA6A7A"/>
    <w:rsid w:val="5F995AE3"/>
    <w:rsid w:val="5FE249A1"/>
    <w:rsid w:val="61913211"/>
    <w:rsid w:val="62F54DEC"/>
    <w:rsid w:val="63906C6D"/>
    <w:rsid w:val="64034960"/>
    <w:rsid w:val="641E1AF7"/>
    <w:rsid w:val="67253DFF"/>
    <w:rsid w:val="689856DF"/>
    <w:rsid w:val="69BE41E9"/>
    <w:rsid w:val="6AD57890"/>
    <w:rsid w:val="6B09521B"/>
    <w:rsid w:val="6B0C237E"/>
    <w:rsid w:val="6C37E6CA"/>
    <w:rsid w:val="6E303B85"/>
    <w:rsid w:val="6E3C270F"/>
    <w:rsid w:val="6E3D1D31"/>
    <w:rsid w:val="6E90592F"/>
    <w:rsid w:val="6EDF56ED"/>
    <w:rsid w:val="6EDFE5B9"/>
    <w:rsid w:val="6F66771C"/>
    <w:rsid w:val="6FBF6906"/>
    <w:rsid w:val="6FD90A38"/>
    <w:rsid w:val="705677C7"/>
    <w:rsid w:val="705B3284"/>
    <w:rsid w:val="71D35029"/>
    <w:rsid w:val="72F65A59"/>
    <w:rsid w:val="74CD4E5E"/>
    <w:rsid w:val="765F07F5"/>
    <w:rsid w:val="774E5504"/>
    <w:rsid w:val="7865119B"/>
    <w:rsid w:val="78F31A93"/>
    <w:rsid w:val="79D3B291"/>
    <w:rsid w:val="7AB52F20"/>
    <w:rsid w:val="7B2870E6"/>
    <w:rsid w:val="7C0F0429"/>
    <w:rsid w:val="7CB15D6B"/>
    <w:rsid w:val="7D3449DB"/>
    <w:rsid w:val="7DA95783"/>
    <w:rsid w:val="7DEA5F52"/>
    <w:rsid w:val="7F277038"/>
    <w:rsid w:val="7FA77AA0"/>
    <w:rsid w:val="7FF78BEF"/>
    <w:rsid w:val="7FFFC1FA"/>
    <w:rsid w:val="AA9FE845"/>
    <w:rsid w:val="BBFDBBC6"/>
    <w:rsid w:val="C77A6AC3"/>
    <w:rsid w:val="D66B0414"/>
    <w:rsid w:val="DDE36BA3"/>
    <w:rsid w:val="DFFF83F8"/>
    <w:rsid w:val="E6BF6DD6"/>
    <w:rsid w:val="EADB4EF9"/>
    <w:rsid w:val="EDDBF756"/>
    <w:rsid w:val="EEBF0843"/>
    <w:rsid w:val="EEDB731F"/>
    <w:rsid w:val="EEDF27DD"/>
    <w:rsid w:val="EFBE28BF"/>
    <w:rsid w:val="EFFB50C0"/>
    <w:rsid w:val="F5F664AB"/>
    <w:rsid w:val="FA8F8C37"/>
    <w:rsid w:val="FBC7402D"/>
    <w:rsid w:val="FD6F1172"/>
    <w:rsid w:val="FF3FFE75"/>
    <w:rsid w:val="FF97B3F2"/>
    <w:rsid w:val="FF9F6C4B"/>
    <w:rsid w:val="FFEBB804"/>
    <w:rsid w:val="FFFBFC5D"/>
    <w:rsid w:val="FFFF2528"/>
    <w:rsid w:val="FFFFA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5"/>
    <w:basedOn w:val="1"/>
    <w:next w:val="1"/>
    <w:link w:val="25"/>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0"/>
    <w:pPr>
      <w:jc w:val="left"/>
    </w:pPr>
  </w:style>
  <w:style w:type="paragraph" w:styleId="6">
    <w:name w:val="Balloon Text"/>
    <w:basedOn w:val="1"/>
    <w:next w:val="7"/>
    <w:unhideWhenUsed/>
    <w:qFormat/>
    <w:uiPriority w:val="99"/>
    <w:rPr>
      <w:sz w:val="18"/>
      <w:szCs w:val="18"/>
    </w:rPr>
  </w:style>
  <w:style w:type="paragraph" w:styleId="7">
    <w:name w:val="HTML Preformatted"/>
    <w:basedOn w:val="1"/>
    <w:qFormat/>
    <w:uiPriority w:val="0"/>
    <w:pPr>
      <w:jc w:val="left"/>
    </w:pPr>
    <w:rPr>
      <w:rFonts w:hint="eastAsia" w:ascii="宋体" w:hAnsi="宋体" w:eastAsia="宋体" w:cs="宋体"/>
      <w:kern w:val="0"/>
      <w:sz w:val="24"/>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tabs>
        <w:tab w:val="center" w:pos="4153"/>
        <w:tab w:val="right" w:pos="8306"/>
      </w:tabs>
      <w:snapToGrid w:val="0"/>
      <w:jc w:val="center"/>
    </w:pPr>
    <w:rPr>
      <w:sz w:val="18"/>
      <w:szCs w:val="18"/>
    </w:rPr>
  </w:style>
  <w:style w:type="paragraph" w:styleId="10">
    <w:name w:val="footnote text"/>
    <w:basedOn w:val="1"/>
    <w:unhideWhenUsed/>
    <w:qFormat/>
    <w:uiPriority w:val="99"/>
    <w:pPr>
      <w:snapToGrid w:val="0"/>
      <w:jc w:val="left"/>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5"/>
    <w:next w:val="5"/>
    <w:link w:val="22"/>
    <w:unhideWhenUsed/>
    <w:qFormat/>
    <w:uiPriority w:val="99"/>
    <w:rPr>
      <w:b/>
      <w:bCs/>
    </w:rPr>
  </w:style>
  <w:style w:type="character" w:styleId="15">
    <w:name w:val="Strong"/>
    <w:basedOn w:val="14"/>
    <w:qFormat/>
    <w:uiPriority w:val="0"/>
    <w:rPr>
      <w:b/>
    </w:rPr>
  </w:style>
  <w:style w:type="character" w:styleId="16">
    <w:name w:val="Emphasis"/>
    <w:basedOn w:val="14"/>
    <w:qFormat/>
    <w:uiPriority w:val="20"/>
    <w:rPr>
      <w:i/>
    </w:rPr>
  </w:style>
  <w:style w:type="character" w:styleId="17">
    <w:name w:val="annotation reference"/>
    <w:basedOn w:val="14"/>
    <w:unhideWhenUsed/>
    <w:qFormat/>
    <w:uiPriority w:val="99"/>
    <w:rPr>
      <w:sz w:val="21"/>
      <w:szCs w:val="21"/>
    </w:rPr>
  </w:style>
  <w:style w:type="character" w:styleId="18">
    <w:name w:val="footnote reference"/>
    <w:basedOn w:val="14"/>
    <w:unhideWhenUsed/>
    <w:qFormat/>
    <w:uiPriority w:val="99"/>
    <w:rPr>
      <w:vertAlign w:val="superscript"/>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99"/>
    <w:rPr>
      <w:sz w:val="18"/>
      <w:szCs w:val="18"/>
    </w:rPr>
  </w:style>
  <w:style w:type="character" w:customStyle="1" w:styleId="21">
    <w:name w:val="批注文字 Char"/>
    <w:basedOn w:val="14"/>
    <w:link w:val="5"/>
    <w:semiHidden/>
    <w:qFormat/>
    <w:uiPriority w:val="99"/>
    <w:rPr>
      <w:kern w:val="2"/>
      <w:sz w:val="21"/>
      <w:szCs w:val="22"/>
    </w:rPr>
  </w:style>
  <w:style w:type="character" w:customStyle="1" w:styleId="22">
    <w:name w:val="批注主题 Char"/>
    <w:basedOn w:val="21"/>
    <w:link w:val="12"/>
    <w:semiHidden/>
    <w:qFormat/>
    <w:uiPriority w:val="99"/>
    <w:rPr>
      <w:b/>
      <w:bCs/>
      <w:kern w:val="2"/>
      <w:sz w:val="21"/>
      <w:szCs w:val="22"/>
    </w:rPr>
  </w:style>
  <w:style w:type="paragraph" w:customStyle="1" w:styleId="23">
    <w:name w:val="样式2"/>
    <w:basedOn w:val="1"/>
    <w:qFormat/>
    <w:uiPriority w:val="0"/>
    <w:pPr>
      <w:spacing w:line="600" w:lineRule="exact"/>
      <w:ind w:right="-47" w:rightChars="-47" w:firstLine="200" w:firstLineChars="200"/>
    </w:pPr>
    <w:rPr>
      <w:rFonts w:ascii="Times New Roman" w:hAnsi="Times New Roman" w:eastAsia="宋体"/>
      <w:bCs/>
      <w:sz w:val="24"/>
      <w:szCs w:val="28"/>
    </w:rPr>
  </w:style>
  <w:style w:type="character" w:customStyle="1" w:styleId="24">
    <w:name w:val="标题 2 Char"/>
    <w:basedOn w:val="14"/>
    <w:link w:val="3"/>
    <w:qFormat/>
    <w:uiPriority w:val="9"/>
    <w:rPr>
      <w:rFonts w:ascii="宋体" w:hAnsi="宋体" w:eastAsia="宋体" w:cs="宋体"/>
      <w:b/>
      <w:bCs/>
      <w:sz w:val="36"/>
      <w:szCs w:val="36"/>
    </w:rPr>
  </w:style>
  <w:style w:type="character" w:customStyle="1" w:styleId="25">
    <w:name w:val="标题 5 Char"/>
    <w:basedOn w:val="14"/>
    <w:link w:val="4"/>
    <w:qFormat/>
    <w:uiPriority w:val="9"/>
    <w:rPr>
      <w:rFonts w:ascii="宋体" w:hAnsi="宋体" w:eastAsia="宋体" w:cs="宋体"/>
      <w:b/>
      <w:bCs/>
    </w:rPr>
  </w:style>
  <w:style w:type="paragraph" w:customStyle="1" w:styleId="26">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370</Words>
  <Characters>2113</Characters>
  <Lines>17</Lines>
  <Paragraphs>4</Paragraphs>
  <TotalTime>8</TotalTime>
  <ScaleCrop>false</ScaleCrop>
  <LinksUpToDate>false</LinksUpToDate>
  <CharactersWithSpaces>2479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2023-11-07T18:23:00Z</dcterms:created>
  <dc:creator>vice400@163.com</dc:creator>
  <cp:lastModifiedBy>无轨列车</cp:lastModifiedBy>
  <cp:lastPrinted>2023-10-25T23:08:00Z</cp:lastPrinted>
  <dcterms:modified xsi:type="dcterms:W3CDTF">2023-11-13T07:32:49Z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1EDBF2EF07DF4C359CB0A773CCCA29FD_13</vt:lpwstr>
  </property>
</Properties>
</file>