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电子竞技产业基础设施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eastAsia="zh-CN"/>
        </w:rPr>
        <w:t>项目实施总结报告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color w:val="auto"/>
          <w:kern w:val="0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Cs w:val="32"/>
          <w:lang w:eastAsia="zh-CN"/>
        </w:rPr>
        <w:t>编制提纲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Cs w:val="32"/>
        </w:rPr>
        <w:t>）</w:t>
      </w:r>
    </w:p>
    <w:p>
      <w:pPr>
        <w:spacing w:beforeLines="0" w:afterLines="0" w:line="540" w:lineRule="exact"/>
        <w:ind w:firstLine="620" w:firstLineChars="200"/>
        <w:rPr>
          <w:rFonts w:hint="eastAsia" w:ascii="仿宋_GB2312" w:hAnsi="仿宋_GB2312" w:cs="仿宋_GB2312"/>
          <w:color w:val="auto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32"/>
        </w:rPr>
        <w:t>一、申报</w:t>
      </w:r>
      <w:r>
        <w:rPr>
          <w:rFonts w:hint="eastAsia" w:ascii="黑体" w:hAnsi="黑体" w:eastAsia="黑体" w:cs="黑体"/>
          <w:b w:val="0"/>
          <w:bCs w:val="0"/>
          <w:color w:val="auto"/>
          <w:szCs w:val="32"/>
          <w:lang w:eastAsia="zh-CN"/>
        </w:rPr>
        <w:t>企业</w:t>
      </w:r>
      <w:r>
        <w:rPr>
          <w:rFonts w:hint="eastAsia" w:ascii="黑体" w:hAnsi="黑体" w:eastAsia="黑体" w:cs="黑体"/>
          <w:b w:val="0"/>
          <w:bCs w:val="0"/>
          <w:color w:val="auto"/>
          <w:szCs w:val="32"/>
        </w:rPr>
        <w:t>情况介绍</w:t>
      </w:r>
    </w:p>
    <w:p>
      <w:pPr>
        <w:spacing w:beforeLines="0" w:afterLines="0"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cs="仿宋_GB2312"/>
          <w:color w:val="auto"/>
        </w:rPr>
        <w:t>（一）</w:t>
      </w:r>
      <w:r>
        <w:rPr>
          <w:rFonts w:hint="eastAsia" w:ascii="仿宋_GB2312" w:hAnsi="仿宋_GB2312" w:cs="仿宋_GB2312"/>
          <w:color w:val="auto"/>
          <w:lang w:eastAsia="zh-CN"/>
        </w:rPr>
        <w:t>项目基本情况</w:t>
      </w:r>
    </w:p>
    <w:p>
      <w:pPr>
        <w:spacing w:beforeLines="0" w:afterLines="0" w:line="540" w:lineRule="exact"/>
        <w:ind w:firstLine="640" w:firstLineChars="200"/>
        <w:rPr>
          <w:rFonts w:hint="eastAsia"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（</w:t>
      </w:r>
      <w:r>
        <w:rPr>
          <w:rFonts w:hint="eastAsia" w:ascii="仿宋_GB2312" w:hAnsi="仿宋_GB2312" w:cs="仿宋_GB2312"/>
          <w:color w:val="auto"/>
          <w:lang w:eastAsia="zh-CN"/>
        </w:rPr>
        <w:t>二</w:t>
      </w:r>
      <w:r>
        <w:rPr>
          <w:rFonts w:hint="eastAsia" w:ascii="仿宋_GB2312" w:hAnsi="仿宋_GB2312" w:cs="仿宋_GB2312"/>
          <w:color w:val="auto"/>
        </w:rPr>
        <w:t>）</w:t>
      </w:r>
      <w:r>
        <w:rPr>
          <w:rFonts w:hint="eastAsia" w:ascii="仿宋_GB2312" w:hAnsi="仿宋_GB2312" w:cs="仿宋_GB2312"/>
          <w:color w:val="auto"/>
          <w:lang w:eastAsia="zh-CN"/>
        </w:rPr>
        <w:t>研发能力、</w:t>
      </w:r>
      <w:r>
        <w:rPr>
          <w:rFonts w:hint="eastAsia" w:ascii="仿宋_GB2312" w:hAnsi="仿宋_GB2312" w:cs="仿宋_GB2312"/>
          <w:color w:val="auto"/>
        </w:rPr>
        <w:t>核心技术和竞争优势</w:t>
      </w:r>
    </w:p>
    <w:p>
      <w:pPr>
        <w:spacing w:beforeLines="0" w:afterLines="0" w:line="540" w:lineRule="exact"/>
        <w:ind w:firstLine="640" w:firstLineChars="200"/>
        <w:rPr>
          <w:rFonts w:hint="eastAsia"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（</w:t>
      </w:r>
      <w:r>
        <w:rPr>
          <w:rFonts w:hint="eastAsia" w:ascii="仿宋_GB2312" w:hAnsi="仿宋_GB2312" w:cs="仿宋_GB2312"/>
          <w:color w:val="auto"/>
          <w:lang w:eastAsia="zh-CN"/>
        </w:rPr>
        <w:t>三</w:t>
      </w:r>
      <w:r>
        <w:rPr>
          <w:rFonts w:hint="eastAsia" w:ascii="仿宋_GB2312" w:hAnsi="仿宋_GB2312" w:cs="仿宋_GB2312"/>
          <w:color w:val="auto"/>
        </w:rPr>
        <w:t>）</w:t>
      </w:r>
      <w:r>
        <w:rPr>
          <w:rFonts w:hint="eastAsia" w:ascii="仿宋_GB2312" w:hAnsi="仿宋_GB2312" w:cs="仿宋_GB2312"/>
          <w:color w:val="auto"/>
          <w:lang w:eastAsia="zh-CN"/>
        </w:rPr>
        <w:t>20</w:t>
      </w:r>
      <w:r>
        <w:rPr>
          <w:rFonts w:hint="eastAsia" w:ascii="仿宋_GB2312" w:hAnsi="仿宋_GB2312" w:cs="仿宋_GB2312"/>
          <w:color w:val="auto"/>
          <w:lang w:val="en-US" w:eastAsia="zh-CN"/>
        </w:rPr>
        <w:t>23</w:t>
      </w:r>
      <w:r>
        <w:rPr>
          <w:rFonts w:hint="eastAsia" w:ascii="仿宋_GB2312" w:hAnsi="仿宋_GB2312" w:cs="仿宋_GB2312"/>
          <w:color w:val="auto"/>
          <w:lang w:eastAsia="zh-CN"/>
        </w:rPr>
        <w:t>年</w:t>
      </w:r>
      <w:r>
        <w:rPr>
          <w:rFonts w:hint="eastAsia" w:ascii="仿宋_GB2312" w:hAnsi="仿宋_GB2312" w:cs="仿宋_GB2312"/>
          <w:color w:val="auto"/>
        </w:rPr>
        <w:t>企业主要经营指标</w:t>
      </w:r>
    </w:p>
    <w:p>
      <w:pPr>
        <w:spacing w:beforeLines="0" w:afterLines="0"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cs="仿宋_GB2312"/>
          <w:color w:val="auto"/>
          <w:lang w:eastAsia="zh-CN"/>
        </w:rPr>
        <w:t>（四）人才队伍建设情况</w:t>
      </w:r>
    </w:p>
    <w:p>
      <w:pPr>
        <w:spacing w:beforeLines="0" w:afterLines="0" w:line="540" w:lineRule="exact"/>
        <w:ind w:firstLine="640" w:firstLineChars="200"/>
        <w:rPr>
          <w:rFonts w:hint="eastAsia"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（</w:t>
      </w:r>
      <w:r>
        <w:rPr>
          <w:rFonts w:hint="eastAsia" w:ascii="仿宋_GB2312" w:hAnsi="仿宋_GB2312" w:cs="仿宋_GB2312"/>
          <w:color w:val="auto"/>
          <w:lang w:eastAsia="zh-CN"/>
        </w:rPr>
        <w:t>五</w:t>
      </w:r>
      <w:r>
        <w:rPr>
          <w:rFonts w:hint="eastAsia" w:ascii="仿宋_GB2312" w:hAnsi="仿宋_GB2312" w:cs="仿宋_GB2312"/>
          <w:color w:val="auto"/>
        </w:rPr>
        <w:t>）</w:t>
      </w:r>
      <w:r>
        <w:rPr>
          <w:rFonts w:hint="eastAsia" w:ascii="仿宋_GB2312" w:hAnsi="仿宋_GB2312" w:cs="仿宋_GB2312"/>
          <w:color w:val="auto"/>
          <w:lang w:eastAsia="zh-CN"/>
        </w:rPr>
        <w:t>企业</w:t>
      </w:r>
      <w:r>
        <w:rPr>
          <w:rFonts w:hint="eastAsia" w:ascii="仿宋_GB2312" w:hAnsi="仿宋_GB2312" w:cs="仿宋_GB2312"/>
          <w:color w:val="auto"/>
        </w:rPr>
        <w:t>相关获奖情况</w:t>
      </w:r>
    </w:p>
    <w:p>
      <w:pPr>
        <w:spacing w:beforeLines="0" w:afterLines="0"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项目相关情况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（一）</w:t>
      </w:r>
      <w:r>
        <w:rPr>
          <w:rFonts w:hint="eastAsia" w:ascii="仿宋_GB2312" w:hAnsi="仿宋_GB2312" w:cs="仿宋_GB2312"/>
          <w:color w:val="auto"/>
          <w:lang w:eastAsia="zh-CN"/>
        </w:rPr>
        <w:t>电竞场馆基本建设情况。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lang w:eastAsia="zh-CN"/>
        </w:rPr>
      </w:pPr>
      <w:r>
        <w:rPr>
          <w:rFonts w:hint="eastAsia" w:ascii="仿宋_GB2312" w:hAnsi="仿宋_GB2312" w:cs="仿宋_GB2312"/>
          <w:color w:val="auto"/>
        </w:rPr>
        <w:t>（</w:t>
      </w:r>
      <w:r>
        <w:rPr>
          <w:rFonts w:hint="eastAsia" w:ascii="仿宋_GB2312" w:hAnsi="仿宋_GB2312" w:cs="仿宋_GB2312"/>
          <w:color w:val="auto"/>
          <w:lang w:eastAsia="zh-CN"/>
        </w:rPr>
        <w:t>二</w:t>
      </w:r>
      <w:r>
        <w:rPr>
          <w:rFonts w:hint="eastAsia" w:ascii="仿宋_GB2312" w:hAnsi="仿宋_GB2312" w:cs="仿宋_GB2312"/>
          <w:color w:val="auto"/>
        </w:rPr>
        <w:t>）</w:t>
      </w:r>
      <w:r>
        <w:rPr>
          <w:rFonts w:hint="eastAsia" w:ascii="仿宋_GB2312" w:hAnsi="仿宋_GB2312" w:cs="仿宋_GB2312"/>
          <w:color w:val="auto"/>
          <w:lang w:eastAsia="zh-CN"/>
        </w:rPr>
        <w:t>电竞场馆对福州电竞产业发展意义及电竞上下游产业带动性，</w:t>
      </w:r>
      <w:r>
        <w:rPr>
          <w:rFonts w:hint="eastAsia" w:ascii="仿宋_GB2312" w:hAnsi="仿宋_GB2312" w:cs="仿宋_GB2312"/>
          <w:color w:val="auto"/>
        </w:rPr>
        <w:t>包括</w:t>
      </w:r>
      <w:r>
        <w:rPr>
          <w:rFonts w:hint="eastAsia" w:ascii="仿宋_GB2312" w:hAnsi="仿宋_GB2312" w:cs="仿宋_GB2312"/>
          <w:color w:val="auto"/>
          <w:lang w:eastAsia="zh-CN"/>
        </w:rPr>
        <w:t>服务人群、人才培养、产业促进、氛围营造等。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cs="仿宋_GB2312"/>
          <w:color w:val="auto"/>
          <w:lang w:eastAsia="zh-CN"/>
        </w:rPr>
        <w:t>（三）电竞场馆相关管理制度、日常运行维护、应急安全处置。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cs="仿宋_GB2312"/>
          <w:color w:val="auto"/>
        </w:rPr>
        <w:t>（</w:t>
      </w:r>
      <w:r>
        <w:rPr>
          <w:rFonts w:hint="eastAsia" w:ascii="仿宋_GB2312" w:hAnsi="仿宋_GB2312" w:cs="仿宋_GB2312"/>
          <w:color w:val="auto"/>
          <w:lang w:eastAsia="zh-CN"/>
        </w:rPr>
        <w:t>四</w:t>
      </w:r>
      <w:r>
        <w:rPr>
          <w:rFonts w:hint="eastAsia" w:ascii="仿宋_GB2312" w:hAnsi="仿宋_GB2312" w:cs="仿宋_GB2312"/>
          <w:color w:val="auto"/>
        </w:rPr>
        <w:t>）下一步发展计划（包含但不限于技术升级、应用开发、商业模式拓展等）</w:t>
      </w:r>
      <w:r>
        <w:rPr>
          <w:rFonts w:hint="eastAsia" w:ascii="仿宋_GB2312" w:hAnsi="仿宋_GB2312" w:cs="仿宋_GB2312"/>
          <w:color w:val="auto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ZWU4YmI3OGI2NmE1YWYwZjVjMjMzOGVlYTg1MjgifQ=="/>
  </w:docVars>
  <w:rsids>
    <w:rsidRoot w:val="18165815"/>
    <w:rsid w:val="0D6B6BAA"/>
    <w:rsid w:val="18165815"/>
    <w:rsid w:val="24443782"/>
    <w:rsid w:val="35D51861"/>
    <w:rsid w:val="3DDE025A"/>
    <w:rsid w:val="3F5E5B15"/>
    <w:rsid w:val="436A5126"/>
    <w:rsid w:val="6D980B70"/>
    <w:rsid w:val="7DDDFF52"/>
    <w:rsid w:val="FDFDD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4"/>
      <w:szCs w:val="48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style01"/>
    <w:basedOn w:val="8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232</Characters>
  <Lines>0</Lines>
  <Paragraphs>0</Paragraphs>
  <TotalTime>1</TotalTime>
  <ScaleCrop>false</ScaleCrop>
  <LinksUpToDate>false</LinksUpToDate>
  <CharactersWithSpaces>232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2022-06-16T09:58:00Z</dcterms:created>
  <dc:creator>拓尔通</dc:creator>
  <cp:lastModifiedBy>uos</cp:lastModifiedBy>
  <dcterms:modified xsi:type="dcterms:W3CDTF">2024-04-07T16:52:41Z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3FBB5C93943B49E59A052EF22EBC82C3</vt:lpwstr>
  </property>
</Properties>
</file>