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高水平电竞组织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  <w:t>（编制提纲）</w:t>
      </w:r>
    </w:p>
    <w:p>
      <w:pPr>
        <w:spacing w:beforeLines="0" w:afterLines="0" w:line="540" w:lineRule="exact"/>
        <w:ind w:firstLine="620" w:firstLineChars="200"/>
        <w:rPr>
          <w:rFonts w:hint="eastAsia" w:ascii="仿宋_GB2312" w:hAnsi="仿宋_GB2312" w:cs="仿宋_GB2312"/>
          <w:color w:val="auto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一、申报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情况介绍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项目基本情况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二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研发能力、</w:t>
      </w:r>
      <w:r>
        <w:rPr>
          <w:rFonts w:hint="eastAsia" w:ascii="仿宋_GB2312" w:hAnsi="仿宋_GB2312" w:cs="仿宋_GB2312"/>
          <w:color w:val="auto"/>
        </w:rPr>
        <w:t>核心技术和竞争优势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202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lang w:eastAsia="zh-CN"/>
        </w:rPr>
        <w:t>年</w:t>
      </w:r>
      <w:r>
        <w:rPr>
          <w:rFonts w:hint="eastAsia" w:ascii="仿宋_GB2312" w:hAnsi="仿宋_GB2312" w:cs="仿宋_GB2312"/>
          <w:color w:val="auto"/>
        </w:rPr>
        <w:t>企业主要经营指标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（四）人才队伍建设情况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五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企业</w:t>
      </w:r>
      <w:r>
        <w:rPr>
          <w:rFonts w:hint="eastAsia" w:ascii="仿宋_GB2312" w:hAnsi="仿宋_GB2312" w:cs="仿宋_GB2312"/>
          <w:color w:val="auto"/>
        </w:rPr>
        <w:t>相关获奖情况</w:t>
      </w:r>
    </w:p>
    <w:p>
      <w:pPr>
        <w:spacing w:beforeLines="0" w:afterLines="0"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俱乐部相关情况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俱乐部</w:t>
      </w:r>
      <w:r>
        <w:rPr>
          <w:rFonts w:hint="eastAsia" w:ascii="仿宋_GB2312" w:hAnsi="仿宋_GB2312" w:cs="仿宋_GB2312"/>
          <w:color w:val="auto"/>
        </w:rPr>
        <w:t>基本概述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（二）俱乐部参与主要联赛及获得成绩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俱乐部落地对福州电竞产业发展意义及电竞上下游产业带动性，</w:t>
      </w:r>
      <w:r>
        <w:rPr>
          <w:rFonts w:hint="eastAsia" w:ascii="仿宋_GB2312" w:hAnsi="仿宋_GB2312" w:cs="仿宋_GB2312"/>
          <w:color w:val="auto"/>
        </w:rPr>
        <w:t>包括</w:t>
      </w:r>
      <w:r>
        <w:rPr>
          <w:rFonts w:hint="eastAsia" w:ascii="仿宋_GB2312" w:hAnsi="仿宋_GB2312" w:cs="仿宋_GB2312"/>
          <w:color w:val="auto"/>
          <w:lang w:eastAsia="zh-CN"/>
        </w:rPr>
        <w:t>服务人群、人才培养、产业促进、氛围营造等。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（四）俱乐部落地发展后未来发展规划。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三、代表福州市参赛条件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具备取得国内外知名顶级电竞职业联赛总决赛前三名实力的协会、俱乐部等社会组织和企业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，可申请冠名“福州”，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代表福州市参加国内外知名顶级电竞职业联赛。</w:t>
      </w: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WU4YmI3OGI2NmE1YWYwZjVjMjMzOGVlYTg1MjgifQ=="/>
  </w:docVars>
  <w:rsids>
    <w:rsidRoot w:val="18165815"/>
    <w:rsid w:val="0D6B6BAA"/>
    <w:rsid w:val="18165815"/>
    <w:rsid w:val="2E9453ED"/>
    <w:rsid w:val="2FB709A0"/>
    <w:rsid w:val="35D51861"/>
    <w:rsid w:val="3F5E5B15"/>
    <w:rsid w:val="436A5126"/>
    <w:rsid w:val="5FDF6C0B"/>
    <w:rsid w:val="7FFD5A1F"/>
    <w:rsid w:val="CF6B7DAD"/>
    <w:rsid w:val="D95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0</TotalTime>
  <ScaleCrop>false</ScaleCrop>
  <LinksUpToDate>false</LinksUpToDate>
  <CharactersWithSpaces>254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2022-06-17T01:58:00Z</dcterms:created>
  <dc:creator>拓尔通</dc:creator>
  <cp:lastModifiedBy>uos</cp:lastModifiedBy>
  <dcterms:modified xsi:type="dcterms:W3CDTF">2024-05-08T17:11:49Z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33126ACF2E7C4B4FB5A292BC5ABECDB7</vt:lpwstr>
  </property>
</Properties>
</file>