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FF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 w14:paraId="41A53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left"/>
        <w:textAlignment w:val="baseline"/>
        <w:rPr>
          <w:rFonts w:ascii="黑体" w:hAnsi="黑体" w:eastAsia="黑体"/>
          <w:spacing w:val="-10"/>
          <w:sz w:val="32"/>
          <w:szCs w:val="32"/>
        </w:rPr>
      </w:pPr>
    </w:p>
    <w:p w14:paraId="30B8651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福州市推进“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全民健身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·‘绿’动榕城”</w:t>
      </w:r>
    </w:p>
    <w:p w14:paraId="30E24F4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建设实施意见</w:t>
      </w:r>
    </w:p>
    <w:p w14:paraId="64A27BD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F6F32F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关于全民健身的重要指示精神，积极响应市委、市政府建设“健康福州”的号召，充分发挥体育在全民健康和全面小康的功能性作用，动员广大市民参与全民健身运动，提高我市绿色出行水平，结合我市实际，制定本实施意见。</w:t>
      </w:r>
    </w:p>
    <w:p w14:paraId="7E69336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352C8C7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以习近平新时代中国特色社会主义思想为指导，全面贯彻党的二十大精神，落实习近平总书记关于对生态环境、体育工作重要论述精神，坚持以人民为中心的发展思想，以“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全民健身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·‘绿’动榕城”行动为牵引，大力倡导绿色出行、低碳出行、运动出行方式，完善绿色出行保障，为践行新发展理念的可持续发展城市做出积极贡献。</w:t>
      </w:r>
    </w:p>
    <w:p w14:paraId="08AD4ED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二、主要目标</w:t>
      </w:r>
    </w:p>
    <w:p w14:paraId="220B0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倡导简约适度、绿色低碳的生活方式，引导公众出行优先选择公共交通、步行和自行车等绿色出行方式，整体提升我市的绿色出行水平。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年，建成具有福州特色的全民健身公共服务体系，建设举步可就的场地设施，经常参加体育锻炼人数比例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52%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，人均体育场地面积达到2.70平方米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以上；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绿色出行环境明显改善，公共交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通服务品质显著提高，公共交通机动化出行分担率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保持在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绿色出行比例保持在80%以上；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体育健身和运动休闲成为普遍生活方式，人民身体素养和健康水平进一步提高。</w:t>
      </w:r>
    </w:p>
    <w:p w14:paraId="34BDE2B0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bookmarkStart w:id="5" w:name="_GoBack"/>
      <w:bookmarkEnd w:id="5"/>
      <w:r>
        <w:rPr>
          <w:rFonts w:hint="eastAsia" w:ascii="黑体" w:hAnsi="黑体" w:eastAsia="黑体" w:cs="黑体"/>
          <w:sz w:val="32"/>
          <w:szCs w:val="32"/>
        </w:rPr>
        <w:t>任务</w:t>
      </w:r>
    </w:p>
    <w:p w14:paraId="66D1BEB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（一）持续完善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“‘绿’动榕城”设施建设</w:t>
      </w:r>
    </w:p>
    <w:p w14:paraId="2F2AFDA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1.优化城市全民健身功能布局。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体育惠民工程”，围绕“群众身边”要求,将全民健身设施覆盖融入公共政策制定全过程，构建多层级健身设施网络和城镇社区“15分钟健身示范圈”，统筹指导各县（市）区打造“社区体育场”“健康体育公园”等老百姓家门口的体育运动场所；支持社会力量参与建设，鼓励有条件的企事业单位利用自有资源建设共享健身空间；新建居住区按室内人均建筑面积不低于0.1平方米或室外人均用地不低于0.3平方米的标准配建公共健身设施，新建小区体育设施100%覆盖；落实全龄友好理念，为老年人、残疾人、未成年等群体参与全民健身运动提供便利，新建体育场馆无障碍设施设置率100%。</w:t>
      </w:r>
    </w:p>
    <w:p w14:paraId="1D87D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〔责任单位：市体育局、市住建局、市资规局、市发改委、市园林中心，各县（市）区人民政府、高新区管委会〕</w:t>
      </w:r>
    </w:p>
    <w:p w14:paraId="1A35F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</w:t>
      </w:r>
      <w:bookmarkStart w:id="0" w:name="_Hlk173685249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打造绿色便捷全民健身新载体</w:t>
      </w:r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区域内健身步道、沿河步道、城市绿道互联互通；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龙舟主题公园建设，丰富龙舟等水上项目开展；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体育公园建设，在现有郊野公园、城市公园中因地制宜配建一定比例的健身设施；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户外运动配套设施，加强山地等户外运动营地及登山道、徒步道、骑行道等设施建设；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乡公共体育设施提档升级和覆盖延伸，每年新建和改造不少于200个篮球、足球、网球、羽毛球、智慧健身房、健身路径等中小型体育场地（设施），加强乡镇、街道健身场地器材配备，促进全民健身运动开展，坚持将政府、社会、个人力量深度融合，推动形成全民健身共建共治共享。</w:t>
      </w:r>
    </w:p>
    <w:p w14:paraId="4F8C1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〔责任单位：市体育局、市住建局、市资规局、市发改委、市园林中心、市水务集团，各县（市）区人民政府、高新区管委会〕</w:t>
      </w:r>
    </w:p>
    <w:p w14:paraId="5DA775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（二）提升公共交通便利性和服务性</w:t>
      </w:r>
    </w:p>
    <w:p w14:paraId="57BE5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大设施投入。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报废老旧车辆、推进动力电池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换新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每年新增更新100辆以上纯电动公交车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，到20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年实现新能源公交车占比96%以上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推进东部办公区、洪塘等公交场站建设，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新增公场站面积1.5万平方米，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为线网布局优化提供基础保障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结合道路改扩建，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每年提升改造中途站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0座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创造良好的候车环境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。</w:t>
      </w:r>
    </w:p>
    <w:p w14:paraId="3E52D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 〔责任单位：市交通运输局、市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古厝集团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，各县（市）区人民政府、高新区管委会〕</w:t>
      </w:r>
    </w:p>
    <w:p w14:paraId="0C8A3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推进两网融合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结合大数据分析，通过截短、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截弯取直、调整走向和运营时间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的方式，每年新增优化公交线路30条以上，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重新打造“干线+接驳+多样化”的三级公交线网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提高公交出行效率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结合地铁4号线后通段、F1滨海快线、2号线东延段等开通运营，围绕地铁骨干通道削减、优化重复干线公交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重点补充覆盖轨道盲区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评估各地铁站点换乘接驳需求，加强接驳需求旺盛区，精准接驳需求集中区，加强常规公交向轨道交通的客流喂给。</w:t>
      </w:r>
    </w:p>
    <w:p w14:paraId="0F5D2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〔责任单位：市交通运输局、市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古厝集团、市地铁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，各县（市）区人民政府、高新区管委会〕 </w:t>
      </w:r>
    </w:p>
    <w:p w14:paraId="10E704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模式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公交方面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选取16条远郊线路开展响铃式停靠试点，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根据试点成效及站点客流情况，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扩大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响铃式停靠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应用范围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，缩短乘客候车时间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评估公交网格化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试点情况的效果，推动接驳需求集中区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精准接驳，逐步实现班次同频，运营同步，做到“地铁一到，公交即发”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进一步挖掘个性化出行需求，与各大工业园区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教育、卫健、文旅等部门建立联动机制，大力发展定制公交、通勤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等多元化服务模式。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地铁方面。滨海快线F1线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“大站快车”，通过在重点车站停靠、普通车站越站的方式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加强福州主城区与滨海新城的沟通联系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有效提升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地铁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出行效率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逐步优化运输组织、增配电客车及设备设施更新改造等方式，力争在2030年前，主要地铁线路（1、2号线等）实现工作日早晚高峰期内运营行车间隔缩短至4分钟以内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</w:p>
    <w:p w14:paraId="5B1A0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〔责任单位：市交通运输局、市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古厝集团、市地铁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集团，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各县（市）区人民政府、高新区管委会〕</w:t>
      </w:r>
    </w:p>
    <w:p w14:paraId="206EC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完善惠民政策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继续开展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公交地铁换乘优惠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公交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地铁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之间换乘享受不同的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优惠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，鼓励“公交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+地铁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出行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城管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组织共享单车企业研究公交地铁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共享单车换乘优惠活动，鼓励“公交+单车”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“地铁+单车”高效出行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每年定期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以绿色出行为主题的宣传活动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营造浓厚的绿色出行宣传氛围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培育市民绿色出行习惯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国内各城市地铁的累积优惠乘车政策，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研究我市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地铁运营累积优惠乘车活动，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降低地铁出行成本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。</w:t>
      </w:r>
    </w:p>
    <w:p w14:paraId="498EC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〔责任单位：市交通运输局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市财政局、市数据管理局、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市城管委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古厝集团、市地铁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，各县（市）区人民政府、高新区管委会〕</w:t>
      </w:r>
    </w:p>
    <w:p w14:paraId="14A98B6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）</w:t>
      </w:r>
      <w:bookmarkStart w:id="1" w:name="_Hlk173685346"/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全面深化开展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“‘绿’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动榕城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行动</w:t>
      </w:r>
    </w:p>
    <w:bookmarkEnd w:id="1"/>
    <w:p w14:paraId="10F7BF7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“绿”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动·机关。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深入机关开展绿色出行宣传，各级机关单位可结合文明单位建设和党建、工会、团委、妇联等相关工作，开展科普宣讲、文体活动，普及绿色出行、运动健康知识；各级机关单位要积极倡导“能走不骑、能骑不坐、能坐不开”的出行理念，鼓励推行“每周少开一天车”，引导广大机关干部尽量选择步行、自行车、公共交通等绿色出行方式。</w:t>
      </w:r>
    </w:p>
    <w:p w14:paraId="5A580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〔责任单位：市委市直机关工委，各县（市）区人民政府、高新区管委会〕</w:t>
      </w:r>
    </w:p>
    <w:p w14:paraId="1325A24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“绿”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动·校园。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将全民健身和绿色出行知识纳入学校日常教学，从小培育学生的意识和习惯。各学校除每年举办的校运会以外，还要结合各学校、各班级的实际情况，积极举办系列的体育竞赛，鼓励学生体育锻炼培养健康意识；积极推进校园舞龙舞狮、武术、象棋等传统体育项目发展，加大校园棒球、手球、橄榄球等新兴体育项目培训交流力度，不断扩大参与面与竞技水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加大对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学校体育场地开放资金保障力度，进一步推动开放面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学校新建室外体育场地设施与向社会开放同步规划、同步实施。</w:t>
      </w:r>
    </w:p>
    <w:p w14:paraId="78748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〔责任单位：市教育局、市体育局、市财政局，各县（市）区人民政府、高新区管委会〕</w:t>
      </w:r>
    </w:p>
    <w:p w14:paraId="0A46811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“绿”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动·社区。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街道（乡镇）牵头，部门、社区配合，依托社区文化中心、文化广场等场所，围绕“绿色+出行”“体育+文化”“运动+科学”等，聚焦更轻量、更有趣、更时髦的社区体育活动门类，开展社区运动会、亲子活动、趣味运动等，降低体育运动门槛，让居民就近参与，搭建起体育惠民、科学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身、绿色出行的平台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兼顾不同人群健康健身需求，结合社区社会圈区位与属性特征差异，优化全民健身设施配置，实现人民群众公平享有便利普惠的公共体育服务。</w:t>
      </w:r>
    </w:p>
    <w:p w14:paraId="33001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〔责任单位：市体育局，各县（市）区人民政府、高新区管委会〕</w:t>
      </w:r>
    </w:p>
    <w:p w14:paraId="3F1AFC5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4.“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绿”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动·企业。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借助企业的人流和场地优势，探索与企业、工业园区开展合作，把绿色出行、运动健康理念注入企业文化；根据企业需求，各县（市）区对属地企业开展职工运动会、企业户外群众性活动如球类、登山类、山地自行车等赛事活动进行指导；引导山地运动、自行车等体育运动基础好的单项体育协会共商，生成联办类示范活动；鼓励创建职工自发性绿色低碳、环保、运动等兴趣小组，用人单位要不断完善覆盖全员、规范有序、富有活动、就近就便的员工文体组织网络。</w:t>
      </w:r>
    </w:p>
    <w:p w14:paraId="73D13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〔责任单位：市总工会、市商务局、市工信局、市体育局，各县（市）区人民政府、高新区管委会〕</w:t>
      </w:r>
    </w:p>
    <w:p w14:paraId="08A5C8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“绿”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动·景区。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积极指导各行业协会与社会力量合作探索在景区、历史文化街区、公园等场所设立特色文化广场，因地制宜开展“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‘绿’</w:t>
      </w:r>
      <w:r>
        <w:rPr>
          <w:rFonts w:hint="eastAsia" w:ascii="仿宋_GB2312" w:hAnsi="仿宋_GB2312" w:eastAsia="仿宋_GB2312" w:cs="仿宋_GB2312"/>
          <w:sz w:val="32"/>
          <w:szCs w:val="32"/>
        </w:rPr>
        <w:t>动·景区”系列活动，推动体育赛事与自然景观、文化氛围、商业环境紧密结合，逐步形成文旅融合发展业态的“体育+旅游”模式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进一步提高旅游景区观光等新能源及清洁能源车辆应用占比，推进旅游景区等区域电动汽车充（换）电设施建设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支持打造“健康体育公园”，配备多样化运动场地，公园沿线设置健康教育宣传栏及绿色出行知识科普，助市民实现“健身自由”。</w:t>
      </w:r>
    </w:p>
    <w:p w14:paraId="6D0E6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〔责任单位：市文旅局、市园林中心、市体育局，各县（市）区人民政府、高新区管委会〕</w:t>
      </w:r>
    </w:p>
    <w:p w14:paraId="30959B5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）</w:t>
      </w:r>
      <w:bookmarkStart w:id="2" w:name="_Hlk173685711"/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全力打造“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/>
        </w:rPr>
        <w:t>全民健身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·‘绿’动榕城”品牌</w:t>
      </w:r>
      <w:bookmarkEnd w:id="2"/>
    </w:p>
    <w:p w14:paraId="36A2F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1.打造“2+12”全民健身品牌赛事。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深化开展大型群众性体育赛事，充分发挥龙舟邀请赛和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福州马拉松赛2个重点赛事龙头作用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半年，重点开展龙舟邀请赛，并结合元旦、春节等时间节点，组织举办登高、健步行、自行车等赛事；下半年，重点开展福州马拉松赛，并结合全民健身日等节点，组织举办全民健身日交流展示、海峡两岸交流活动、户外定向越野赛等系列赛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；各县（市）区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至少要拥有1个有区域影响力的体育品牌赛事（合计12个），达到“一县区一品牌”，乃至“一县区多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品牌”，在全市范围内培育一批具有鲜明福州文化特色、</w:t>
      </w:r>
      <w:bookmarkStart w:id="3" w:name="_Hlk173685751"/>
      <w:r>
        <w:rPr>
          <w:rFonts w:hint="eastAsia" w:ascii="仿宋_GB2312" w:hAnsi="仿宋_GB2312" w:eastAsia="仿宋_GB2312" w:cs="仿宋_GB2312"/>
          <w:sz w:val="32"/>
          <w:szCs w:val="32"/>
        </w:rPr>
        <w:t>带动群众广泛参与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、促进经济社会发展的品牌体育赛事。</w:t>
      </w:r>
    </w:p>
    <w:p w14:paraId="7ADB5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〔责任单位：市体育局，各县（市）区人民政府、高新区管委会〕</w:t>
      </w:r>
    </w:p>
    <w:p w14:paraId="700BC44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“双百”全民健身活动开展。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年均组织赛事活动300场以上，参与群众100万人次以上为目标，各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县（市）区应积极创造条件，引进、举办重大体育赛事活动；支持和引导社会力量参与举办各类体育赛事活动，鼓励自然人、法人和非法人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参与赛事活动组织，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国节能宣传周、全国低碳日、国庆等时间节点，常态化开展徒步、登山、山地自行车、攀岩、露营、卡丁车、水上等体育活动，力争做到“月月有赛事，人人爱健身”，大力倡导运动、健康、低碳生活方式。</w:t>
      </w:r>
    </w:p>
    <w:p w14:paraId="28487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〔责任单位：市体育局，各县（市）区人民政府、高新区管委会〕</w:t>
      </w:r>
    </w:p>
    <w:p w14:paraId="2F08E2D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“City+”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运动模式。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结合福州地标性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文化及地标性</w:t>
      </w:r>
      <w:r>
        <w:rPr>
          <w:rFonts w:hint="eastAsia" w:ascii="仿宋_GB2312" w:hAnsi="仿宋_GB2312" w:eastAsia="仿宋_GB2312" w:cs="仿宋_GB2312"/>
          <w:sz w:val="32"/>
          <w:szCs w:val="32"/>
        </w:rPr>
        <w:t>景点，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创新推出</w:t>
      </w:r>
      <w:r>
        <w:rPr>
          <w:rFonts w:hint="eastAsia" w:ascii="仿宋_GB2312" w:hAnsi="仿宋_GB2312" w:eastAsia="仿宋_GB2312" w:cs="仿宋_GB2312"/>
          <w:sz w:val="32"/>
          <w:szCs w:val="32"/>
        </w:rPr>
        <w:t>“City Walk—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城市漫步走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”“City Run—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公益健康跑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”“City Ride—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骑行游”“City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Dance—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舞动榕城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”“City Climb—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登高行”等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5大类主题活动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，促进体育与旅游、健身与生态文明建设融合发展。</w:t>
      </w:r>
      <w:bookmarkStart w:id="4" w:name="_Hlk173685801"/>
    </w:p>
    <w:bookmarkEnd w:id="4"/>
    <w:p w14:paraId="30685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〔责任单位：市体育局、市文旅局，各县（市）区人民政府、高新区管委会〕</w:t>
      </w:r>
    </w:p>
    <w:p w14:paraId="2170459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4.强化“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全民健身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·‘绿’动榕城”行动宣传。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联动中央、省、市各级主流媒体和县（市）融媒体中心组建传播矩阵，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做好“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全民健身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·‘绿’动榕城”行动宣传工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依托“线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+线下”宣传渠道，利用网络、广告等方式高频推广，扩大宣传触达率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加大对“‘绿’动榕城”建设成果的宣传报道，共建共享低碳、健康、有序、文明、和谐的社会氛围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常态化发布相关信息，如“城市运动”精品线路、“15分钟健身示范圈”等新闻报道，以及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围绕“</w:t>
      </w:r>
      <w:r>
        <w:rPr>
          <w:rFonts w:hint="eastAsia" w:ascii="仿宋_GB2312" w:hAnsi="仿宋_GB2312" w:eastAsia="仿宋_GB2312" w:cs="仿宋_GB2312"/>
          <w:sz w:val="32"/>
          <w:szCs w:val="32"/>
        </w:rPr>
        <w:t>‘绿’动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榕城”开展的相关活动和资讯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12D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〔责任单位：市委宣传部、市体育局，各县（市）区人民政府、高新区管委会〕</w:t>
      </w:r>
    </w:p>
    <w:p w14:paraId="559E828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 w14:paraId="17D75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健全市、县两级工作机制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各成员单位的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分工，压实部门责任，形成协调配合、齐抓共管的良好格局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各牵头单位要切实加强组织领导，确保各项行动落实到位。</w:t>
      </w:r>
    </w:p>
    <w:p w14:paraId="32E7A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（二）完善政策机制。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构建全民健身公共服务长效机制，各县（市）区、高新区结合实际，制定推动工作的具体措施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鼓励有条件的地方探索建立绿色出行奖励机制、奖励积分等方式促进绿色出行。</w:t>
      </w:r>
    </w:p>
    <w:p w14:paraId="35CCC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（三）严格责任落实。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全民健身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·‘绿’动榕城”活动工作评估，将“绿”动系列活动作为推荐争创文明单位等项目的重点内容，及时总结工作经验，督促各县（市）区、各部门提升工作效能，提高全民健身、绿色出行覆盖面。</w:t>
      </w:r>
    </w:p>
    <w:p w14:paraId="3AD0A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本实施意见自发布之日起施行，至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2030年12月1日止。</w:t>
      </w:r>
    </w:p>
    <w:p w14:paraId="34B5D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 SC Regul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ACED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322498B6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b8fDtQAAAAIAQAADwAAAAAAAAABACAAAAAiAAAA&#10;ZHJzL2Rvd25yZXYueG1sUEsBAhQAFAAAAAgAh07iQDQ4MnLSAQAArgMAAA4AAAAAAAAAAQAgAAAA&#10;Iw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22498B6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E2D9C"/>
    <w:multiLevelType w:val="singleLevel"/>
    <w:tmpl w:val="D6FE2D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E3OWY2NGU4ZTJjNDM5NDIyMThhZGJhZjQzM2IifQ=="/>
  </w:docVars>
  <w:rsids>
    <w:rsidRoot w:val="7E185C8E"/>
    <w:rsid w:val="0002757B"/>
    <w:rsid w:val="004E56F8"/>
    <w:rsid w:val="0053424F"/>
    <w:rsid w:val="00574A3B"/>
    <w:rsid w:val="006E759F"/>
    <w:rsid w:val="00C85209"/>
    <w:rsid w:val="05980AC9"/>
    <w:rsid w:val="09FE7B2D"/>
    <w:rsid w:val="0A327557"/>
    <w:rsid w:val="0DC914F5"/>
    <w:rsid w:val="0E26198C"/>
    <w:rsid w:val="11C15579"/>
    <w:rsid w:val="148F3492"/>
    <w:rsid w:val="15CD70D3"/>
    <w:rsid w:val="16596C84"/>
    <w:rsid w:val="17BFE090"/>
    <w:rsid w:val="17C27AD2"/>
    <w:rsid w:val="1BF2EA49"/>
    <w:rsid w:val="1C2A06A0"/>
    <w:rsid w:val="1C4004C6"/>
    <w:rsid w:val="2003D145"/>
    <w:rsid w:val="219E3810"/>
    <w:rsid w:val="2751588E"/>
    <w:rsid w:val="27B16751"/>
    <w:rsid w:val="27FE1000"/>
    <w:rsid w:val="2B3C9834"/>
    <w:rsid w:val="2E1E6CEB"/>
    <w:rsid w:val="2EF9B189"/>
    <w:rsid w:val="2F5F12BC"/>
    <w:rsid w:val="30F272E5"/>
    <w:rsid w:val="325C4C19"/>
    <w:rsid w:val="34803A7A"/>
    <w:rsid w:val="39A30C87"/>
    <w:rsid w:val="3A9FD9BC"/>
    <w:rsid w:val="3CA47818"/>
    <w:rsid w:val="3CB575B0"/>
    <w:rsid w:val="3D7663B5"/>
    <w:rsid w:val="3DFFCA47"/>
    <w:rsid w:val="3E193CD2"/>
    <w:rsid w:val="3E26285B"/>
    <w:rsid w:val="3EEB3138"/>
    <w:rsid w:val="3EEF88F2"/>
    <w:rsid w:val="3F5815F8"/>
    <w:rsid w:val="3FE3855A"/>
    <w:rsid w:val="40C6523F"/>
    <w:rsid w:val="426F269D"/>
    <w:rsid w:val="436FB4D6"/>
    <w:rsid w:val="43AB15DD"/>
    <w:rsid w:val="43EE6344"/>
    <w:rsid w:val="466A1A1E"/>
    <w:rsid w:val="4A1160A7"/>
    <w:rsid w:val="4B774281"/>
    <w:rsid w:val="4D05688F"/>
    <w:rsid w:val="4DA324B1"/>
    <w:rsid w:val="4E867D0F"/>
    <w:rsid w:val="4FDF6E55"/>
    <w:rsid w:val="4FFE2CF3"/>
    <w:rsid w:val="50B138A7"/>
    <w:rsid w:val="51795883"/>
    <w:rsid w:val="51FFC713"/>
    <w:rsid w:val="57AC4A47"/>
    <w:rsid w:val="5AE98287"/>
    <w:rsid w:val="5AEF165F"/>
    <w:rsid w:val="5AFF8B4F"/>
    <w:rsid w:val="5B6025F5"/>
    <w:rsid w:val="5B800AB2"/>
    <w:rsid w:val="5C8F2694"/>
    <w:rsid w:val="5C8F4B84"/>
    <w:rsid w:val="5D1F1746"/>
    <w:rsid w:val="5DBD99BB"/>
    <w:rsid w:val="5E3A4450"/>
    <w:rsid w:val="5E548C21"/>
    <w:rsid w:val="5ECA6325"/>
    <w:rsid w:val="5F7BD24B"/>
    <w:rsid w:val="6A36E2B5"/>
    <w:rsid w:val="6D9622BD"/>
    <w:rsid w:val="6DF87DA8"/>
    <w:rsid w:val="6E443391"/>
    <w:rsid w:val="6FDB459A"/>
    <w:rsid w:val="6FFB0017"/>
    <w:rsid w:val="6FFF3D77"/>
    <w:rsid w:val="715D5141"/>
    <w:rsid w:val="73EE5A1C"/>
    <w:rsid w:val="75F8D2CB"/>
    <w:rsid w:val="75FD25E3"/>
    <w:rsid w:val="76DD7CBF"/>
    <w:rsid w:val="76E70210"/>
    <w:rsid w:val="76FD8058"/>
    <w:rsid w:val="76FE93A2"/>
    <w:rsid w:val="777C2A8C"/>
    <w:rsid w:val="78CA389A"/>
    <w:rsid w:val="79D6CFED"/>
    <w:rsid w:val="7ABE32E4"/>
    <w:rsid w:val="7AFF5450"/>
    <w:rsid w:val="7BBB0693"/>
    <w:rsid w:val="7C743669"/>
    <w:rsid w:val="7CDF9F89"/>
    <w:rsid w:val="7CF32490"/>
    <w:rsid w:val="7DF73FFA"/>
    <w:rsid w:val="7E185C8E"/>
    <w:rsid w:val="7E6DBBC8"/>
    <w:rsid w:val="7EA7E9E9"/>
    <w:rsid w:val="7EE8E346"/>
    <w:rsid w:val="7EEDB55B"/>
    <w:rsid w:val="7EFD446D"/>
    <w:rsid w:val="7F279D32"/>
    <w:rsid w:val="7F51650C"/>
    <w:rsid w:val="7F6BC596"/>
    <w:rsid w:val="7FDCE060"/>
    <w:rsid w:val="7FFF7F54"/>
    <w:rsid w:val="7FFFD6BF"/>
    <w:rsid w:val="86EEE309"/>
    <w:rsid w:val="98FF3A24"/>
    <w:rsid w:val="9DEFC5A5"/>
    <w:rsid w:val="AEFF4CBA"/>
    <w:rsid w:val="AFFF7FE6"/>
    <w:rsid w:val="B38382DB"/>
    <w:rsid w:val="B6394098"/>
    <w:rsid w:val="B79FB1CF"/>
    <w:rsid w:val="B7CD7CB8"/>
    <w:rsid w:val="B7ED0EA3"/>
    <w:rsid w:val="BA7B23C6"/>
    <w:rsid w:val="BEA5F8CE"/>
    <w:rsid w:val="BEBF434C"/>
    <w:rsid w:val="BFDD9697"/>
    <w:rsid w:val="BFF6EAB5"/>
    <w:rsid w:val="CFFF38E8"/>
    <w:rsid w:val="D3DB0238"/>
    <w:rsid w:val="D4F9B440"/>
    <w:rsid w:val="D59993FB"/>
    <w:rsid w:val="D5FF6328"/>
    <w:rsid w:val="D7D7A49B"/>
    <w:rsid w:val="DDAB0EB9"/>
    <w:rsid w:val="DE4BB98E"/>
    <w:rsid w:val="DF836B3B"/>
    <w:rsid w:val="DFE6BD16"/>
    <w:rsid w:val="DFEEBAD3"/>
    <w:rsid w:val="E7AF7E5E"/>
    <w:rsid w:val="E7F7755A"/>
    <w:rsid w:val="E7FE74E1"/>
    <w:rsid w:val="EBFE844E"/>
    <w:rsid w:val="EDD1FCC8"/>
    <w:rsid w:val="EEFCF348"/>
    <w:rsid w:val="F2B3183A"/>
    <w:rsid w:val="F3FFE95C"/>
    <w:rsid w:val="F67F7145"/>
    <w:rsid w:val="F6D72D27"/>
    <w:rsid w:val="F7738671"/>
    <w:rsid w:val="F7B62C93"/>
    <w:rsid w:val="F7FEA2D2"/>
    <w:rsid w:val="F98E11E9"/>
    <w:rsid w:val="FBBFCABE"/>
    <w:rsid w:val="FBFC60C3"/>
    <w:rsid w:val="FC3755FC"/>
    <w:rsid w:val="FCBB2454"/>
    <w:rsid w:val="FDDE67D0"/>
    <w:rsid w:val="FE37DA82"/>
    <w:rsid w:val="FE69B20A"/>
    <w:rsid w:val="FE9FA21B"/>
    <w:rsid w:val="FEABA8E4"/>
    <w:rsid w:val="FEBADA44"/>
    <w:rsid w:val="FEFF4909"/>
    <w:rsid w:val="FFBC960A"/>
    <w:rsid w:val="FFBEB533"/>
    <w:rsid w:val="FFCD3058"/>
    <w:rsid w:val="FFF5051B"/>
    <w:rsid w:val="FFFDB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6"/>
    <w:unhideWhenUsed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UserStyle_14"/>
    <w:basedOn w:val="1"/>
    <w:qFormat/>
    <w:uiPriority w:val="0"/>
    <w:pPr>
      <w:jc w:val="left"/>
    </w:pPr>
    <w:rPr>
      <w:kern w:val="0"/>
      <w:sz w:val="24"/>
    </w:rPr>
  </w:style>
  <w:style w:type="character" w:customStyle="1" w:styleId="16">
    <w:name w:val="NormalCharacter"/>
    <w:qFormat/>
    <w:uiPriority w:val="0"/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71"/>
    <w:basedOn w:val="12"/>
    <w:qFormat/>
    <w:uiPriority w:val="0"/>
    <w:rPr>
      <w:rFonts w:hint="default" w:ascii="Kaiti SC Regular" w:hAnsi="Kaiti SC Regular" w:eastAsia="Kaiti SC Regular" w:cs="Kaiti SC Regular"/>
      <w:color w:val="000000"/>
      <w:sz w:val="22"/>
      <w:szCs w:val="22"/>
      <w:u w:val="none"/>
    </w:rPr>
  </w:style>
  <w:style w:type="paragraph" w:customStyle="1" w:styleId="19">
    <w:name w:val="列出段落1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0">
    <w:name w:val="(dk正文)"/>
    <w:basedOn w:val="1"/>
    <w:qFormat/>
    <w:uiPriority w:val="0"/>
    <w:pPr>
      <w:spacing w:line="360" w:lineRule="auto"/>
      <w:ind w:firstLine="200" w:firstLineChars="200"/>
    </w:pPr>
    <w:rPr>
      <w:kern w:val="0"/>
      <w:sz w:val="30"/>
      <w:szCs w:val="30"/>
    </w:rPr>
  </w:style>
  <w:style w:type="paragraph" w:customStyle="1" w:styleId="21">
    <w:name w:val="委机关 正文"/>
    <w:basedOn w:val="1"/>
    <w:qFormat/>
    <w:uiPriority w:val="0"/>
    <w:pPr>
      <w:spacing w:line="590" w:lineRule="exact"/>
      <w:ind w:firstLine="720" w:firstLineChars="200"/>
    </w:pPr>
    <w:rPr>
      <w:color w:val="000000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6541</Words>
  <Characters>6691</Characters>
  <Lines>29</Lines>
  <Paragraphs>8</Paragraphs>
  <TotalTime>2</TotalTime>
  <ScaleCrop>false</ScaleCrop>
  <LinksUpToDate>false</LinksUpToDate>
  <CharactersWithSpaces>6708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2020-12-19T15:28:00Z</dcterms:created>
  <dc:creator>fan</dc:creator>
  <cp:lastModifiedBy>13959159476</cp:lastModifiedBy>
  <cp:lastPrinted>2024-08-16T00:10:00Z</cp:lastPrinted>
  <dcterms:modified xsi:type="dcterms:W3CDTF">2024-08-26T03:21:37Z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C107D3112D5CE2D8D0399164F6D893BF</vt:lpwstr>
  </property>
</Properties>
</file>