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E2770" w14:textId="77777777" w:rsidR="004D79A4" w:rsidRDefault="00000000">
      <w:pPr>
        <w:pStyle w:val="a8"/>
        <w:widowControl/>
        <w:spacing w:before="0" w:beforeAutospacing="0" w:after="0" w:afterAutospacing="0" w:line="600" w:lineRule="exact"/>
        <w:jc w:val="both"/>
        <w:rPr>
          <w:rStyle w:val="aa"/>
          <w:rFonts w:ascii="黑体" w:eastAsia="黑体" w:hAnsi="黑体" w:cs="黑体" w:hint="eastAsia"/>
          <w:b w:val="0"/>
          <w:color w:val="000000"/>
          <w:sz w:val="32"/>
          <w:szCs w:val="32"/>
        </w:rPr>
      </w:pPr>
      <w:r>
        <w:rPr>
          <w:rStyle w:val="aa"/>
          <w:rFonts w:ascii="黑体" w:eastAsia="黑体" w:hAnsi="黑体" w:cs="黑体" w:hint="eastAsia"/>
          <w:b w:val="0"/>
          <w:color w:val="000000"/>
          <w:sz w:val="32"/>
          <w:szCs w:val="32"/>
        </w:rPr>
        <w:t>附件</w:t>
      </w:r>
    </w:p>
    <w:p w14:paraId="4CFBE5CE" w14:textId="77777777" w:rsidR="004D79A4" w:rsidRDefault="004D79A4">
      <w:pPr>
        <w:spacing w:line="600" w:lineRule="exact"/>
        <w:ind w:rightChars="400" w:right="840"/>
        <w:jc w:val="left"/>
        <w:textAlignment w:val="baseline"/>
        <w:rPr>
          <w:rFonts w:ascii="黑体" w:eastAsia="黑体" w:hAnsi="黑体" w:hint="eastAsia"/>
          <w:spacing w:val="-10"/>
          <w:sz w:val="32"/>
          <w:szCs w:val="32"/>
        </w:rPr>
      </w:pPr>
    </w:p>
    <w:p w14:paraId="76ABDBCF" w14:textId="77777777" w:rsidR="004D79A4" w:rsidRDefault="00000000">
      <w:pPr>
        <w:pStyle w:val="a8"/>
        <w:widowControl/>
        <w:spacing w:before="0" w:beforeAutospacing="0" w:after="0" w:afterAutospacing="0" w:line="600" w:lineRule="exact"/>
        <w:jc w:val="center"/>
        <w:rPr>
          <w:rStyle w:val="aa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</w:pPr>
      <w:r>
        <w:rPr>
          <w:rStyle w:val="aa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福州市推进“全民健身·‘绿’动榕城”</w:t>
      </w:r>
    </w:p>
    <w:p w14:paraId="3A1C9B72" w14:textId="77777777" w:rsidR="004D79A4" w:rsidRDefault="00000000">
      <w:pPr>
        <w:pStyle w:val="a8"/>
        <w:widowControl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Style w:val="aa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建设实施意见</w:t>
      </w:r>
    </w:p>
    <w:p w14:paraId="76843901" w14:textId="77777777" w:rsidR="004D79A4" w:rsidRDefault="004D79A4">
      <w:pPr>
        <w:pStyle w:val="a8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98BDE56" w14:textId="77777777" w:rsidR="004D79A4" w:rsidRDefault="00000000">
      <w:pPr>
        <w:pStyle w:val="a8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深入贯彻落实习近平总书记关于全民健身的重要指示精神，积极响应市委、市政府建设“健康福州”的号召，充分发挥体育在全民健康和全面小康的功能性作用，动员广大市民参与全民健身运动，提高我市绿色出行水平，结合我市实际，制定本实施意见。</w:t>
      </w:r>
    </w:p>
    <w:p w14:paraId="15DD7691" w14:textId="77777777" w:rsidR="004D79A4" w:rsidRDefault="00000000">
      <w:pPr>
        <w:pStyle w:val="a8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一、指导思想</w:t>
      </w:r>
    </w:p>
    <w:p w14:paraId="6C1A4CAC" w14:textId="77777777" w:rsidR="004D79A4" w:rsidRDefault="00000000">
      <w:pPr>
        <w:pStyle w:val="a8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习近平新时代中国特色社会主义思想为指导，全面贯彻党的二十大精神，落实习近平总书记关于对生态环境、体育工作重要论述精神，坚持以人民为中心的发展思想，以“全民健身·‘绿’动榕城”行动为牵引，大力倡导绿色出行、低碳出行、运动出行方式，完善绿色出行保障，为践行新发展理念的可持续发展城市做出积极贡献。</w:t>
      </w:r>
    </w:p>
    <w:p w14:paraId="47FC64EF" w14:textId="77777777" w:rsidR="004D79A4" w:rsidRDefault="00000000">
      <w:pPr>
        <w:pStyle w:val="a8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二、主要目标</w:t>
      </w:r>
    </w:p>
    <w:p w14:paraId="38B907CE" w14:textId="77777777" w:rsidR="004D79A4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倡导简约适度、绿色低碳的生活方式，引导公众出行优先选择公共交通、步行和自行车等绿色出行方式，整体提升我市的绿色出行水平。</w:t>
      </w:r>
      <w:r>
        <w:rPr>
          <w:rFonts w:ascii="仿宋_GB2312" w:eastAsia="仿宋_GB2312" w:hAnsi="仿宋_GB2312" w:cs="仿宋_GB2312" w:hint="eastAsia"/>
          <w:sz w:val="32"/>
          <w:szCs w:val="32"/>
        </w:rPr>
        <w:t>到 2030年，建成具有福州特色的全民健身公共服务体系，建设举步可就的场地设施，经常参加体育锻炼人数比例保持52%以上，人均体育场地面积达到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2.70平方米以上；绿色出行环境明显改善，公共交通服务品质显著提高，公共交通机动化出行分担率保持在40%以上、绿色出行比例保持在80%以上；体育健身和运动休闲成为普遍生活方式，人民身体素养和健康水平进一步提高。</w:t>
      </w:r>
    </w:p>
    <w:p w14:paraId="2D6D41A7" w14:textId="77777777" w:rsidR="004D79A4" w:rsidRDefault="00000000">
      <w:pPr>
        <w:pStyle w:val="a8"/>
        <w:widowControl/>
        <w:numPr>
          <w:ilvl w:val="0"/>
          <w:numId w:val="1"/>
        </w:numPr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重点任务</w:t>
      </w:r>
    </w:p>
    <w:p w14:paraId="537C7903" w14:textId="77777777" w:rsidR="004D79A4" w:rsidRDefault="00000000">
      <w:pPr>
        <w:pStyle w:val="a8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楷体_GB2312" w:eastAsia="楷体_GB2312" w:hAnsi="楷体_GB2312" w:cs="楷体_GB2312" w:hint="eastAsia"/>
          <w:kern w:val="2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2"/>
          <w:sz w:val="32"/>
          <w:szCs w:val="32"/>
        </w:rPr>
        <w:t>（一）持续完善</w:t>
      </w:r>
      <w:r>
        <w:rPr>
          <w:rFonts w:ascii="楷体_GB2312" w:eastAsia="楷体_GB2312" w:hAnsi="楷体_GB2312" w:cs="楷体_GB2312" w:hint="eastAsia"/>
          <w:sz w:val="32"/>
          <w:szCs w:val="32"/>
        </w:rPr>
        <w:t>“‘绿’动榕城”设施建设</w:t>
      </w:r>
    </w:p>
    <w:p w14:paraId="693B3DA8" w14:textId="7EF2077F" w:rsidR="004D79A4" w:rsidRDefault="00000000">
      <w:pPr>
        <w:pStyle w:val="a8"/>
        <w:widowControl/>
        <w:spacing w:before="0" w:beforeAutospacing="0" w:after="0" w:afterAutospacing="0" w:line="600" w:lineRule="exact"/>
        <w:ind w:firstLineChars="200" w:firstLine="643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1.优化城市全民健身功能布局。</w:t>
      </w:r>
      <w:r>
        <w:rPr>
          <w:rFonts w:ascii="仿宋_GB2312" w:eastAsia="仿宋_GB2312" w:hAnsi="仿宋_GB2312" w:cs="仿宋_GB2312" w:hint="eastAsia"/>
          <w:sz w:val="32"/>
          <w:szCs w:val="32"/>
        </w:rPr>
        <w:t>深入推进“体育惠民工程”，围绕“群众身边”要求,将全民健身设施覆盖融入公共政策制定全过程，构建多层级健身设施网络和城镇社区“15分钟健身示范圈”，统筹指导各县（市）区打造“社区体育场”“健康体育公园”等老百姓家门口的体育运动场所；支持社会力量参与建设，鼓励有条件的企事业单位利用自有资源建设共享健身空间；新建居住区按室内人均建筑面积不低于0.1平方米或室外人均用地不低于0.3平方米的标准配建公共健身设施，新建小区体育设施100%覆盖；落实全龄友好理念，为老年人、残疾人、未成年</w:t>
      </w:r>
      <w:r w:rsidR="00126B47"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等群体参与全民健身运动提供便利，新建体育场馆无障碍设施设置率100%。</w:t>
      </w:r>
    </w:p>
    <w:p w14:paraId="20B94082" w14:textId="77777777" w:rsidR="004D79A4" w:rsidRDefault="00000000">
      <w:pPr>
        <w:spacing w:line="60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〔责任单位：市体育局、市住建局、市资规局、市发改委、市园林中心，各县（市）区人民政府、高新区管委会〕</w:t>
      </w:r>
    </w:p>
    <w:p w14:paraId="7DEC72F8" w14:textId="77777777" w:rsidR="004D79A4" w:rsidRDefault="00000000">
      <w:pPr>
        <w:spacing w:line="600" w:lineRule="exact"/>
        <w:ind w:firstLineChars="200" w:firstLine="643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2.</w:t>
      </w:r>
      <w:bookmarkStart w:id="0" w:name="_Hlk173685249"/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打造绿色便捷全民健身新载体</w:t>
      </w:r>
      <w:bookmarkEnd w:id="0"/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。推进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区域内健身步道、沿河步道、城市绿道互联互通；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推进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龙舟主题公园建设，丰富龙舟等水上项目开展；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推进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体育公园建设，在现有郊野公园、城市公园中因地制宜配建一定比例的健身设施；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推进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户外运动配套设施，加强山地等户外运动营地及登山道、徒步道、骑行道等设施建设；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推进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城乡公共体育设施提档升级和覆盖延伸，每年新建和改造不少于200个篮球、足球、网球、羽毛球、智慧健身房、健身路径等中小型体育场地（设施），加强乡镇、街道健身场地器材配备，促进全民健身运动开展，坚持将政府、社会、个人力量深度融合，推动形成全民健身共建共治共享。</w:t>
      </w:r>
    </w:p>
    <w:p w14:paraId="730399B0" w14:textId="77777777" w:rsidR="004D79A4" w:rsidRDefault="00000000">
      <w:pPr>
        <w:spacing w:line="60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〔责任单位：市体育局、市住建局、市资规局、市发改委、市园林中心、市水务集团，各县（市）区人民政府、高新区管委会〕</w:t>
      </w:r>
    </w:p>
    <w:p w14:paraId="6C2BF00B" w14:textId="77777777" w:rsidR="004D79A4" w:rsidRDefault="00000000">
      <w:pPr>
        <w:pStyle w:val="a0"/>
        <w:spacing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（二）提升公共交通便利性和服务性</w:t>
      </w:r>
    </w:p>
    <w:p w14:paraId="6CA4C09E" w14:textId="77777777" w:rsidR="004D79A4" w:rsidRDefault="00000000">
      <w:pPr>
        <w:spacing w:line="60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1.加大设施投入。</w:t>
      </w:r>
      <w:r>
        <w:rPr>
          <w:rFonts w:ascii="仿宋_GB2312" w:eastAsia="仿宋_GB2312" w:hAnsi="仿宋_GB2312" w:cs="仿宋_GB2312" w:hint="eastAsia"/>
          <w:sz w:val="32"/>
          <w:szCs w:val="32"/>
        </w:rPr>
        <w:t>加快报废老旧车辆、推进动力电池换新，每年新增更新100辆以上纯电动公交车，到2027年实现新能源公交车占比96%以上；推进东部办公区、洪塘等公交场站建设，新增公场站面积1.5万平方米，为线网布局优化提供基础保障；结合道路改扩建，每年提升改造中途站50座，创造良好的候车环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14:paraId="077E5986" w14:textId="77777777" w:rsidR="004D79A4" w:rsidRDefault="00000000">
      <w:pPr>
        <w:spacing w:line="600" w:lineRule="exact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〔责任单位：市交通运输局、市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古厝集团</w:t>
      </w:r>
      <w:r>
        <w:rPr>
          <w:rFonts w:ascii="仿宋_GB2312" w:eastAsia="仿宋_GB2312" w:hAnsi="仿宋_GB2312" w:cs="仿宋_GB2312" w:hint="eastAsia"/>
          <w:sz w:val="32"/>
          <w:szCs w:val="32"/>
        </w:rPr>
        <w:t>，各县（市）区人民政府、高新区管委会〕</w:t>
      </w:r>
    </w:p>
    <w:p w14:paraId="153D215B" w14:textId="77777777" w:rsidR="004D79A4" w:rsidRDefault="00000000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2.推进两网融合。</w:t>
      </w:r>
      <w:r>
        <w:rPr>
          <w:rFonts w:ascii="仿宋_GB2312" w:eastAsia="仿宋_GB2312" w:hAnsi="仿宋_GB2312" w:cs="仿宋_GB2312" w:hint="eastAsia"/>
          <w:sz w:val="32"/>
          <w:szCs w:val="32"/>
        </w:rPr>
        <w:t>结合大数据分析，通过截短、截弯取直、调整走向和运营时间的方式，每年新增优化公交线路30条以上，重新打造“干线+接驳+多样化”的三级公交线网，提高公交出行效率；结合地铁4号线后通段、F1滨海快线、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号线东延段等开通运营，围绕地铁骨干通道削减、优化重复干线公交，重点补充覆盖轨道盲区；持续评估各地铁站点换乘接驳需求，加强接驳需求旺盛区，精准接驳需求集中区，加强常规公交向轨道交通的客流喂给。</w:t>
      </w:r>
    </w:p>
    <w:p w14:paraId="653551F5" w14:textId="77777777" w:rsidR="004D79A4" w:rsidRDefault="00000000">
      <w:pPr>
        <w:spacing w:line="60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〔责任单位：市交通运输局、市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古厝集团、市地铁集团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，各县（市）区人民政府、高新区管委会〕 </w:t>
      </w:r>
    </w:p>
    <w:p w14:paraId="49962328" w14:textId="77777777" w:rsidR="004D79A4" w:rsidRDefault="00000000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3.创新运营模式。一是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公交方面。选取16条远郊线路开展响铃式停靠试点，并根据试点成效及站点客流情况，扩大响铃式停靠应用范围，缩短乘客候车时间；评估公交网格化管理试点情况的效果，推动接驳需求集中区的精准接驳，逐步实现班次同频，运营同步，做到“地铁一到，公交即发”；进一步挖掘个性化出行需求，与各大工业园区及教育、卫健、文旅等部门建立联动机制，大力发展定制公交、通勤专线等多元化服务模式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地铁方面。滨海快线F1线实行“大站快车”，通过在重点车站停靠、普通车站越站的方式，加强福州主城区与滨海新城的沟通联系，有效提升地铁出行效率；逐步优化运输组织、增配电客车及设备设施更新改造等方式，力争在2030年前，主要地铁线路（1、2号线等）实现工作日早晚高峰期内运营行车间隔缩短至4分钟以内。</w:t>
      </w:r>
    </w:p>
    <w:p w14:paraId="1FCF98BD" w14:textId="77777777" w:rsidR="004D79A4" w:rsidRDefault="00000000">
      <w:pPr>
        <w:spacing w:line="60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〔责任单位：市交通运输局、市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古厝集团、市地铁集团，</w:t>
      </w:r>
      <w:r>
        <w:rPr>
          <w:rFonts w:ascii="仿宋_GB2312" w:eastAsia="仿宋_GB2312" w:hAnsi="仿宋_GB2312" w:cs="仿宋_GB2312" w:hint="eastAsia"/>
          <w:sz w:val="32"/>
          <w:szCs w:val="32"/>
        </w:rPr>
        <w:t>各县（市）区人民政府、高新区管委会〕</w:t>
      </w:r>
    </w:p>
    <w:p w14:paraId="7A235104" w14:textId="77777777" w:rsidR="004D79A4" w:rsidRDefault="00000000">
      <w:pPr>
        <w:spacing w:line="600" w:lineRule="exact"/>
        <w:ind w:firstLineChars="200" w:firstLine="643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4.完善惠民政策。</w:t>
      </w:r>
      <w:r>
        <w:rPr>
          <w:rFonts w:ascii="仿宋_GB2312" w:eastAsia="仿宋_GB2312" w:hAnsi="仿宋_GB2312" w:cs="仿宋_GB2312" w:hint="eastAsia"/>
          <w:sz w:val="32"/>
          <w:szCs w:val="32"/>
        </w:rPr>
        <w:t>继续开展公交地铁换乘优惠，在公交与地铁之间换乘享受不同的优惠，鼓励“公交+地铁”出行；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城管部门组织共享单车企业研究公交地铁与共享单车换乘优惠活动，鼓励“公交+单车”、“地铁+单车”高效出行；每年定期开展以绿色出行为主题的宣传活动，营造浓厚的绿色出行宣传氛围，培育市民绿色出行习惯；参照国内各城市地铁的累积优惠乘车政策，研究我市地铁运营累积优惠乘车活动，降低地铁出行成本。</w:t>
      </w:r>
    </w:p>
    <w:p w14:paraId="37E7F5CC" w14:textId="77777777" w:rsidR="004D79A4" w:rsidRDefault="00000000">
      <w:pPr>
        <w:spacing w:line="60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〔责任单位：市交通运输局、市财政局、市数据管理局、市城管委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古厝集团、市地铁集团</w:t>
      </w:r>
      <w:r>
        <w:rPr>
          <w:rFonts w:ascii="仿宋_GB2312" w:eastAsia="仿宋_GB2312" w:hAnsi="仿宋_GB2312" w:cs="仿宋_GB2312" w:hint="eastAsia"/>
          <w:sz w:val="32"/>
          <w:szCs w:val="32"/>
        </w:rPr>
        <w:t>，各县（市）区人民政府、高新区管委会〕</w:t>
      </w:r>
    </w:p>
    <w:p w14:paraId="58CD69F3" w14:textId="77777777" w:rsidR="004D79A4" w:rsidRDefault="00000000">
      <w:pPr>
        <w:pStyle w:val="a8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楷体_GB2312" w:eastAsia="楷体_GB2312" w:hAnsi="楷体_GB2312" w:cs="楷体_GB2312" w:hint="eastAsia"/>
          <w:kern w:val="2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2"/>
          <w:sz w:val="32"/>
          <w:szCs w:val="32"/>
        </w:rPr>
        <w:t>（三）</w:t>
      </w:r>
      <w:bookmarkStart w:id="1" w:name="_Hlk173685346"/>
      <w:r>
        <w:rPr>
          <w:rFonts w:ascii="楷体_GB2312" w:eastAsia="楷体_GB2312" w:hAnsi="楷体_GB2312" w:cs="楷体_GB2312" w:hint="eastAsia"/>
          <w:kern w:val="2"/>
          <w:sz w:val="32"/>
          <w:szCs w:val="32"/>
        </w:rPr>
        <w:t>全面深化开展五大</w:t>
      </w:r>
      <w:r>
        <w:rPr>
          <w:rFonts w:ascii="楷体_GB2312" w:eastAsia="楷体_GB2312" w:hAnsi="楷体_GB2312" w:cs="楷体_GB2312" w:hint="eastAsia"/>
          <w:sz w:val="32"/>
          <w:szCs w:val="32"/>
        </w:rPr>
        <w:t>“‘绿’</w:t>
      </w:r>
      <w:r>
        <w:rPr>
          <w:rFonts w:ascii="楷体_GB2312" w:eastAsia="楷体_GB2312" w:hAnsi="楷体_GB2312" w:cs="楷体_GB2312" w:hint="eastAsia"/>
          <w:kern w:val="2"/>
          <w:sz w:val="32"/>
          <w:szCs w:val="32"/>
        </w:rPr>
        <w:t>动榕城</w:t>
      </w:r>
      <w:r>
        <w:rPr>
          <w:rFonts w:ascii="楷体_GB2312" w:eastAsia="楷体_GB2312" w:hAnsi="楷体_GB2312" w:cs="楷体_GB2312" w:hint="eastAsia"/>
          <w:sz w:val="32"/>
          <w:szCs w:val="32"/>
        </w:rPr>
        <w:t>”</w:t>
      </w:r>
      <w:r>
        <w:rPr>
          <w:rFonts w:ascii="楷体_GB2312" w:eastAsia="楷体_GB2312" w:hAnsi="楷体_GB2312" w:cs="楷体_GB2312" w:hint="eastAsia"/>
          <w:kern w:val="2"/>
          <w:sz w:val="32"/>
          <w:szCs w:val="32"/>
        </w:rPr>
        <w:t>行动</w:t>
      </w:r>
    </w:p>
    <w:bookmarkEnd w:id="1"/>
    <w:p w14:paraId="5B667D1F" w14:textId="77777777" w:rsidR="004D79A4" w:rsidRDefault="00000000">
      <w:pPr>
        <w:pStyle w:val="a8"/>
        <w:widowControl/>
        <w:spacing w:before="0" w:beforeAutospacing="0" w:after="0" w:afterAutospacing="0" w:line="600" w:lineRule="exact"/>
        <w:ind w:firstLineChars="200" w:firstLine="643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“绿”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动·机关。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深入机关开展绿色出行宣传，各级机关单位可结合文明单位建设和党建、工会、团委、妇联等相关工作，开展科普宣讲、文体活动，普及绿色出行、运动健康知识；各级机关单位要积极倡导“能走不骑、能骑不坐、能坐不开”的出行理念，鼓励推行“每周少开一天车”，引导广大机关干部尽量选择步行、自行车、公共交通等绿色出行方式。</w:t>
      </w:r>
    </w:p>
    <w:p w14:paraId="05DAF30B" w14:textId="77777777" w:rsidR="004D79A4" w:rsidRDefault="00000000">
      <w:pPr>
        <w:spacing w:line="60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〔责任单位：市委市直机关工委，各县（市）区人民政府、高新区管委会〕</w:t>
      </w:r>
    </w:p>
    <w:p w14:paraId="3BAAAC3C" w14:textId="77777777" w:rsidR="004D79A4" w:rsidRDefault="00000000">
      <w:pPr>
        <w:pStyle w:val="a8"/>
        <w:widowControl/>
        <w:spacing w:before="0" w:beforeAutospacing="0" w:after="0" w:afterAutospacing="0" w:line="600" w:lineRule="exact"/>
        <w:ind w:firstLineChars="200" w:firstLine="643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“绿”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动·校园。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将全民健身和绿色出行知识纳入学校日常教学，从小培育学生的意识和习惯。各学校除每年举办的校运会以外，还要结合各学校、各班级的实际情况，积极举办系列的体育竞赛，鼓励学生体育锻炼培养健康意识；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积极推进校园舞龙舞狮、武术、象棋等传统体育项目发展，加大校园棒球、手球、橄榄球等新兴体育项目培训交流力度，不断扩大参与面与竞技水平；加大对</w:t>
      </w:r>
      <w:r>
        <w:rPr>
          <w:rFonts w:ascii="仿宋_GB2312" w:eastAsia="仿宋_GB2312" w:hAnsi="仿宋_GB2312" w:cs="仿宋_GB2312" w:hint="eastAsia"/>
          <w:sz w:val="32"/>
          <w:szCs w:val="32"/>
        </w:rPr>
        <w:t>学校体育场地开放资金保障力度，进一步推动开放面，学校新建室外体育场地设施与向社会开放同步规划、同步实施。</w:t>
      </w:r>
    </w:p>
    <w:p w14:paraId="1D9E5F54" w14:textId="77777777" w:rsidR="004D79A4" w:rsidRDefault="00000000">
      <w:pPr>
        <w:spacing w:line="60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〔责任单位：市教育局、市体育局、市财政局，各县（市）区人民政府、高新区管委会〕</w:t>
      </w:r>
    </w:p>
    <w:p w14:paraId="5FBBD1B6" w14:textId="77777777" w:rsidR="004D79A4" w:rsidRDefault="00000000">
      <w:pPr>
        <w:pStyle w:val="a8"/>
        <w:widowControl/>
        <w:spacing w:before="0" w:beforeAutospacing="0" w:after="0" w:afterAutospacing="0" w:line="600" w:lineRule="exact"/>
        <w:ind w:firstLineChars="200" w:firstLine="643"/>
        <w:jc w:val="both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“绿”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动·社区。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街道（乡镇）牵头，部门、社区配合，依托社区文化中心、文化广场等场所，围绕“绿色+出行”“体育+文化”“运动+科学”等，聚焦更轻量、更有趣、更时髦的社区体育活动门类，开展社区运动会、亲子活动、趣味运动等，降低体育运动门槛，让居民就近参与，搭建起体育惠民、科学健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身、绿色出行的平台；兼顾不同人群健康健身需求，结合社区社会圈区位与属性特征差异，优化全民健身设施配置，实现人民群众公平享有便利普惠的公共体育服务。</w:t>
      </w:r>
    </w:p>
    <w:p w14:paraId="436915CC" w14:textId="77777777" w:rsidR="004D79A4" w:rsidRDefault="00000000">
      <w:pPr>
        <w:spacing w:line="60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〔责任单位：市体育局，各县（市）区人民政府、高新区管委会〕</w:t>
      </w:r>
    </w:p>
    <w:p w14:paraId="3176156B" w14:textId="77777777" w:rsidR="004D79A4" w:rsidRDefault="00000000">
      <w:pPr>
        <w:pStyle w:val="a8"/>
        <w:widowControl/>
        <w:spacing w:before="0" w:beforeAutospacing="0" w:after="0" w:afterAutospacing="0" w:line="600" w:lineRule="exact"/>
        <w:ind w:firstLineChars="200" w:firstLine="643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4.“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绿”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动·企业。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借助企业的人流和场地优势，探索与企业、工业园区开展合作，把绿色出行、运动健康理念注入企业文化；根据企业需求，各县（市）区对属地企业开展职工运动会、企业户外群众性活动如球类、登山类、山地自行车等赛事活动进行指导；引导山地运动、自行车等体育运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动基础好的单项体育协会共商，生成联办类示范活动；鼓励创建职工自发性绿色低碳、环保、运动等兴趣小组，用人单位要不断完善覆盖全员、规范有序、富有活动、就近就便的员工文体组织网络。</w:t>
      </w:r>
    </w:p>
    <w:p w14:paraId="1A206957" w14:textId="77777777" w:rsidR="004D79A4" w:rsidRDefault="00000000">
      <w:pPr>
        <w:spacing w:line="60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〔责任单位：市总工会、市商务局、市工信局、市体育局，各县（市）区人民政府、高新区管委会〕</w:t>
      </w:r>
    </w:p>
    <w:p w14:paraId="6875DC4F" w14:textId="77777777" w:rsidR="004D79A4" w:rsidRDefault="00000000">
      <w:pPr>
        <w:pStyle w:val="a0"/>
        <w:spacing w:line="60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“绿”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动·景区。</w:t>
      </w:r>
      <w:r>
        <w:rPr>
          <w:rFonts w:ascii="仿宋_GB2312" w:eastAsia="仿宋_GB2312" w:hAnsi="仿宋_GB2312" w:cs="仿宋_GB2312" w:hint="eastAsia"/>
          <w:sz w:val="32"/>
          <w:szCs w:val="32"/>
        </w:rPr>
        <w:t>积极指导各行业协会与社会力量合作探索在景区、历史文化街区、公园等场所设立特色文化广场，因地制宜开展“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‘绿’</w:t>
      </w:r>
      <w:r>
        <w:rPr>
          <w:rFonts w:ascii="仿宋_GB2312" w:eastAsia="仿宋_GB2312" w:hAnsi="仿宋_GB2312" w:cs="仿宋_GB2312" w:hint="eastAsia"/>
          <w:sz w:val="32"/>
          <w:szCs w:val="32"/>
        </w:rPr>
        <w:t>动·景区”系列活动，推动体育赛事与自然景观、文化氛围、商业环境紧密结合，逐步形成文旅融合发展业态的“体育+旅游”模式；进一步提高旅游景区观光等新能源及清洁能源车辆应用占比，推进旅游景区等区域电动汽车充（换）电设施建设；支持打造“健康体育公园”，配备多样化运动场地，公园沿线设置健康教育宣传栏及绿色出行知识科普，助市民实现“健身自由”。</w:t>
      </w:r>
    </w:p>
    <w:p w14:paraId="0C91BB43" w14:textId="77777777" w:rsidR="004D79A4" w:rsidRDefault="00000000">
      <w:pPr>
        <w:spacing w:line="60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〔责任单位：市文旅局、市园林中心、市体育局，各县（市）区人民政府、高新区管委会〕</w:t>
      </w:r>
    </w:p>
    <w:p w14:paraId="4DC9B6C8" w14:textId="77777777" w:rsidR="004D79A4" w:rsidRDefault="00000000">
      <w:pPr>
        <w:pStyle w:val="a8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楷体_GB2312" w:eastAsia="楷体_GB2312" w:hAnsi="楷体_GB2312" w:cs="楷体_GB2312" w:hint="eastAsia"/>
          <w:kern w:val="2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2"/>
          <w:sz w:val="32"/>
          <w:szCs w:val="32"/>
        </w:rPr>
        <w:t>（四）</w:t>
      </w:r>
      <w:bookmarkStart w:id="2" w:name="_Hlk173685711"/>
      <w:r>
        <w:rPr>
          <w:rFonts w:ascii="楷体_GB2312" w:eastAsia="楷体_GB2312" w:hAnsi="楷体_GB2312" w:cs="楷体_GB2312" w:hint="eastAsia"/>
          <w:kern w:val="2"/>
          <w:sz w:val="32"/>
          <w:szCs w:val="32"/>
        </w:rPr>
        <w:t>全力打造“全民健身·‘绿’动榕城”品牌</w:t>
      </w:r>
      <w:bookmarkEnd w:id="2"/>
    </w:p>
    <w:p w14:paraId="4E75EE66" w14:textId="77777777" w:rsidR="004D79A4" w:rsidRDefault="00000000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1.打造“2+12”全民健身品牌赛事。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深化开展大型群众性体育赛事，充分发挥龙舟邀请赛和福州马拉松赛2个重点赛事龙头作用。</w:t>
      </w:r>
      <w:r>
        <w:rPr>
          <w:rFonts w:ascii="仿宋_GB2312" w:eastAsia="仿宋_GB2312" w:hAnsi="仿宋_GB2312" w:cs="仿宋_GB2312" w:hint="eastAsia"/>
          <w:sz w:val="32"/>
          <w:szCs w:val="32"/>
        </w:rPr>
        <w:t>上半年，重点开展龙舟邀请赛，并结合元旦、春节等时间节点，组织举办登高、健步行、自行车等赛事；下半年，重点开展福州马拉松赛，并结合全民健身日等节点，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组织举办全民健身日交流展示、海峡两岸交流活动、户外定向越野赛等系列赛事；各县（市）区至少要拥有1个有区域影响力的体育品牌赛事（合计12个），达到“一县区一品牌”，乃至“一县区多品牌”，在全市范围内培育一批具有鲜明福州文化特色、</w:t>
      </w:r>
      <w:bookmarkStart w:id="3" w:name="_Hlk173685751"/>
      <w:r>
        <w:rPr>
          <w:rFonts w:ascii="仿宋_GB2312" w:eastAsia="仿宋_GB2312" w:hAnsi="仿宋_GB2312" w:cs="仿宋_GB2312" w:hint="eastAsia"/>
          <w:sz w:val="32"/>
          <w:szCs w:val="32"/>
        </w:rPr>
        <w:t>带动群众广泛参与</w:t>
      </w:r>
      <w:bookmarkEnd w:id="3"/>
      <w:r>
        <w:rPr>
          <w:rFonts w:ascii="仿宋_GB2312" w:eastAsia="仿宋_GB2312" w:hAnsi="仿宋_GB2312" w:cs="仿宋_GB2312" w:hint="eastAsia"/>
          <w:sz w:val="32"/>
          <w:szCs w:val="32"/>
        </w:rPr>
        <w:t>、促进经济社会发展的品牌体育赛事。</w:t>
      </w:r>
    </w:p>
    <w:p w14:paraId="1D478D6F" w14:textId="77777777" w:rsidR="004D79A4" w:rsidRDefault="00000000">
      <w:pPr>
        <w:spacing w:line="60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〔责任单位：市体育局，各县（市）区人民政府、高新区管委会〕</w:t>
      </w:r>
    </w:p>
    <w:p w14:paraId="5D098EA6" w14:textId="77777777" w:rsidR="004D79A4" w:rsidRDefault="00000000">
      <w:pPr>
        <w:pStyle w:val="a8"/>
        <w:widowControl/>
        <w:spacing w:before="0" w:beforeAutospacing="0" w:after="0" w:afterAutospacing="0" w:line="600" w:lineRule="exact"/>
        <w:ind w:firstLineChars="200" w:firstLine="643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2.推动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“双百”全民健身活动开展。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以实现</w:t>
      </w:r>
      <w:r>
        <w:rPr>
          <w:rFonts w:ascii="仿宋_GB2312" w:eastAsia="仿宋_GB2312" w:hAnsi="仿宋_GB2312" w:cs="仿宋_GB2312" w:hint="eastAsia"/>
          <w:sz w:val="32"/>
          <w:szCs w:val="32"/>
        </w:rPr>
        <w:t>年均组织赛事活动300场以上，参与群众100万人次以上为目标，各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县（市）区应积极创造条件，引进、举办重大体育赛事活动；支持和引导社会力量参与举办各类体育赛事活动，鼓励自然人、法人和非法人组织参与赛事活动组织，</w:t>
      </w:r>
      <w:r>
        <w:rPr>
          <w:rFonts w:ascii="仿宋_GB2312" w:eastAsia="仿宋_GB2312" w:hAnsi="仿宋_GB2312" w:cs="仿宋_GB2312" w:hint="eastAsia"/>
          <w:sz w:val="32"/>
          <w:szCs w:val="32"/>
        </w:rPr>
        <w:t>围绕全国节能宣传周、全国低碳日、国庆等时间节点，常态化开展徒步、登山、山地自行车、攀岩、露营、卡丁车、水上等体育活动，力争做到“月月有赛事，人人爱健身”，大力倡导运动、健康、低碳生活方式。</w:t>
      </w:r>
    </w:p>
    <w:p w14:paraId="52B26067" w14:textId="77777777" w:rsidR="004D79A4" w:rsidRDefault="00000000">
      <w:pPr>
        <w:spacing w:line="60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〔责任单位：市体育局，各县（市）区人民政府、高新区管委会〕</w:t>
      </w:r>
    </w:p>
    <w:p w14:paraId="2029310D" w14:textId="77777777" w:rsidR="004D79A4" w:rsidRDefault="00000000">
      <w:pPr>
        <w:pStyle w:val="a8"/>
        <w:widowControl/>
        <w:spacing w:before="0" w:beforeAutospacing="0" w:after="0" w:afterAutospacing="0" w:line="600" w:lineRule="exact"/>
        <w:ind w:firstLineChars="200" w:firstLine="643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3.创新打造“City+”城市运动模式。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结合福州地标性文化及地标性景点，创新推出“City Walk—城市漫步走”“City Run—公益健康跑”“City Ride—绿色骑行游”“City 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Dance—舞动榕城”“City Climb—健康登高行”等5大类主题活动，促进体育与旅游、健身与生态文明建设融合发展。</w:t>
      </w:r>
      <w:bookmarkStart w:id="4" w:name="_Hlk173685801"/>
    </w:p>
    <w:bookmarkEnd w:id="4"/>
    <w:p w14:paraId="674B8D32" w14:textId="77777777" w:rsidR="004D79A4" w:rsidRDefault="00000000">
      <w:pPr>
        <w:spacing w:line="60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〔责任单位：市体育局、市文旅局，各县（市）区人民政府、高新区管委会〕</w:t>
      </w:r>
    </w:p>
    <w:p w14:paraId="5874B052" w14:textId="77777777" w:rsidR="004D79A4" w:rsidRDefault="00000000">
      <w:pPr>
        <w:pStyle w:val="a8"/>
        <w:widowControl/>
        <w:spacing w:before="0" w:beforeAutospacing="0" w:after="0" w:afterAutospacing="0" w:line="600" w:lineRule="exact"/>
        <w:ind w:firstLineChars="200" w:firstLine="643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4.强化“全民健身·‘绿’动榕城”行动宣传。</w:t>
      </w:r>
      <w:r>
        <w:rPr>
          <w:rFonts w:ascii="仿宋_GB2312" w:eastAsia="仿宋_GB2312" w:hAnsi="仿宋_GB2312" w:cs="仿宋_GB2312" w:hint="eastAsia"/>
          <w:sz w:val="32"/>
          <w:szCs w:val="32"/>
        </w:rPr>
        <w:t>联动中央、省、市各级主流媒体和县（市）融媒体中心组建传播矩阵，做好“全民健身·‘绿’动榕城”行动宣传工作；依托“线上+线下”宣传渠道，利用网络、广告等方式高频推广，扩大宣传触达率；加大对“‘绿’动榕城”建设成果的宣传报道，共建共享低碳、健康、有序、文明、和谐的社会氛围；常态化发布相关信息，如“城市运动”精品线路、“15分钟健身示范圈”等新闻报道，以及其它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围绕“</w:t>
      </w:r>
      <w:r>
        <w:rPr>
          <w:rFonts w:ascii="仿宋_GB2312" w:eastAsia="仿宋_GB2312" w:hAnsi="仿宋_GB2312" w:cs="仿宋_GB2312" w:hint="eastAsia"/>
          <w:sz w:val="32"/>
          <w:szCs w:val="32"/>
        </w:rPr>
        <w:t>‘绿’动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榕城”开展的相关活动和资讯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F9D2EFB" w14:textId="77777777" w:rsidR="004D79A4" w:rsidRDefault="00000000">
      <w:pPr>
        <w:spacing w:line="60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〔责任单位：市委宣传部、市体育局，各县（市）区人民政府、高新区管委会〕</w:t>
      </w:r>
    </w:p>
    <w:p w14:paraId="1C2009F5" w14:textId="77777777" w:rsidR="004D79A4" w:rsidRDefault="00000000">
      <w:pPr>
        <w:pStyle w:val="a8"/>
        <w:widowControl/>
        <w:spacing w:before="0" w:beforeAutospacing="0" w:after="0" w:afterAutospacing="0" w:line="600" w:lineRule="exact"/>
        <w:ind w:leftChars="200" w:left="420" w:firstLineChars="100" w:firstLine="320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四、保障措施</w:t>
      </w:r>
    </w:p>
    <w:p w14:paraId="142ACD61" w14:textId="77777777" w:rsidR="004D79A4" w:rsidRDefault="00000000">
      <w:pPr>
        <w:spacing w:line="60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（一）加强组织领导。</w:t>
      </w:r>
      <w:r>
        <w:rPr>
          <w:rFonts w:ascii="仿宋_GB2312" w:eastAsia="仿宋_GB2312" w:hAnsi="仿宋_GB2312" w:cs="仿宋_GB2312" w:hint="eastAsia"/>
          <w:sz w:val="32"/>
          <w:szCs w:val="32"/>
        </w:rPr>
        <w:t>健全市、县两级工作机制，明确各成员单位的职责和分工，压实部门责任，形成协调配合、齐抓共管的良好格局，各牵头单位要切实加强组织领导，确保各项行动落实到位。</w:t>
      </w:r>
    </w:p>
    <w:p w14:paraId="4915BFC1" w14:textId="77777777" w:rsidR="004D79A4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（二）完善政策机制。</w:t>
      </w:r>
      <w:r>
        <w:rPr>
          <w:rFonts w:ascii="仿宋_GB2312" w:eastAsia="仿宋_GB2312" w:hAnsi="仿宋_GB2312" w:cs="仿宋_GB2312" w:hint="eastAsia"/>
          <w:sz w:val="32"/>
          <w:szCs w:val="32"/>
        </w:rPr>
        <w:t>构建全民健身公共服务长效机制，各县（市）区、高新区结合实际，制定推动工作的具体措施，鼓励有条件的地方探索建立绿色出行奖励机制、奖励积分等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方式促进绿色出行。</w:t>
      </w:r>
    </w:p>
    <w:p w14:paraId="626A2DD2" w14:textId="77777777" w:rsidR="004D79A4" w:rsidRDefault="00000000">
      <w:pPr>
        <w:spacing w:line="60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（三）严格责任落实。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开展“全民健身·‘绿’动榕城”活动工作评估，将“绿”动系列活动作为推荐争创文明单位等项目的重点内容，及时总结工作经验，督促各县（市）区、各部门提升工作效能，提高全民健身、绿色出行覆盖面。</w:t>
      </w:r>
    </w:p>
    <w:p w14:paraId="1E6CC1E9" w14:textId="77777777" w:rsidR="004D79A4" w:rsidRDefault="00000000">
      <w:pPr>
        <w:spacing w:line="60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本实施意见自发布之日起施行，至2030年12月1日止。</w:t>
      </w:r>
    </w:p>
    <w:p w14:paraId="4D57BB58" w14:textId="77777777" w:rsidR="004D79A4" w:rsidRDefault="004D79A4">
      <w:pPr>
        <w:spacing w:line="60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4D79A4">
      <w:footerReference w:type="default" r:id="rId8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70AD" w14:textId="77777777" w:rsidR="00641FF4" w:rsidRDefault="00641FF4">
      <w:r>
        <w:separator/>
      </w:r>
    </w:p>
  </w:endnote>
  <w:endnote w:type="continuationSeparator" w:id="0">
    <w:p w14:paraId="41030552" w14:textId="77777777" w:rsidR="00641FF4" w:rsidRDefault="0064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 SC Regular">
    <w:altName w:val="宋体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A73D" w14:textId="77777777" w:rsidR="004D79A4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8DD798" wp14:editId="1D94A31C">
              <wp:simplePos x="0" y="0"/>
              <wp:positionH relativeFrom="margin">
                <wp:posOffset>2576195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  <a:effectLst/>
                    </wps:spPr>
                    <wps:txbx>
                      <w:txbxContent>
                        <w:p w14:paraId="6A42282F" w14:textId="77777777" w:rsidR="004D79A4" w:rsidRDefault="00000000"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DD79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02.85pt;margin-top:0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" filled="f" stroked="f">
              <v:textbox style="mso-fit-shape-to-text:t" inset="0,0,0,0">
                <w:txbxContent>
                  <w:p w14:paraId="6A42282F" w14:textId="77777777" w:rsidR="004D79A4" w:rsidRDefault="00000000"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4"/>
                      </w:rPr>
                      <w:t>3</w:t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3CB29" w14:textId="77777777" w:rsidR="00641FF4" w:rsidRDefault="00641FF4">
      <w:r>
        <w:separator/>
      </w:r>
    </w:p>
  </w:footnote>
  <w:footnote w:type="continuationSeparator" w:id="0">
    <w:p w14:paraId="7A260F93" w14:textId="77777777" w:rsidR="00641FF4" w:rsidRDefault="0064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FE2D9C"/>
    <w:multiLevelType w:val="singleLevel"/>
    <w:tmpl w:val="D6FE2D9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7679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VmYTE3OWY2NGU4ZTJjNDM5NDIyMThhZGJhZjQzM2IifQ=="/>
  </w:docVars>
  <w:rsids>
    <w:rsidRoot w:val="7E185C8E"/>
    <w:rsid w:val="DDAB0EB9"/>
    <w:rsid w:val="DE4BB98E"/>
    <w:rsid w:val="DF836B3B"/>
    <w:rsid w:val="DFE6BD16"/>
    <w:rsid w:val="DFEEBAD3"/>
    <w:rsid w:val="E7AF7E5E"/>
    <w:rsid w:val="E7F7755A"/>
    <w:rsid w:val="E7FE74E1"/>
    <w:rsid w:val="EBFE844E"/>
    <w:rsid w:val="EDD1FCC8"/>
    <w:rsid w:val="EEFCF348"/>
    <w:rsid w:val="F2B3183A"/>
    <w:rsid w:val="F3FFE95C"/>
    <w:rsid w:val="F67F7145"/>
    <w:rsid w:val="F6D72D27"/>
    <w:rsid w:val="F7738671"/>
    <w:rsid w:val="F7B62C93"/>
    <w:rsid w:val="F7FEA2D2"/>
    <w:rsid w:val="F98E11E9"/>
    <w:rsid w:val="FBBFCABE"/>
    <w:rsid w:val="FBFC60C3"/>
    <w:rsid w:val="FC3755FC"/>
    <w:rsid w:val="FCBB2454"/>
    <w:rsid w:val="FDDE67D0"/>
    <w:rsid w:val="FE37DA82"/>
    <w:rsid w:val="FE69B20A"/>
    <w:rsid w:val="FE9FA21B"/>
    <w:rsid w:val="FEABA8E4"/>
    <w:rsid w:val="FEBADA44"/>
    <w:rsid w:val="FEFF4909"/>
    <w:rsid w:val="FFBC960A"/>
    <w:rsid w:val="FFBEB533"/>
    <w:rsid w:val="FFCD3058"/>
    <w:rsid w:val="FFF5051B"/>
    <w:rsid w:val="FFFDBF4C"/>
    <w:rsid w:val="0002757B"/>
    <w:rsid w:val="00126B47"/>
    <w:rsid w:val="004D79A4"/>
    <w:rsid w:val="004E56F8"/>
    <w:rsid w:val="0053424F"/>
    <w:rsid w:val="00574A3B"/>
    <w:rsid w:val="00641FF4"/>
    <w:rsid w:val="006E759F"/>
    <w:rsid w:val="007B50EF"/>
    <w:rsid w:val="00C85209"/>
    <w:rsid w:val="05980AC9"/>
    <w:rsid w:val="09FE7B2D"/>
    <w:rsid w:val="0A327557"/>
    <w:rsid w:val="0DC914F5"/>
    <w:rsid w:val="0E26198C"/>
    <w:rsid w:val="11C15579"/>
    <w:rsid w:val="148F3492"/>
    <w:rsid w:val="15CD70D3"/>
    <w:rsid w:val="16596C84"/>
    <w:rsid w:val="17BFE090"/>
    <w:rsid w:val="17C27AD2"/>
    <w:rsid w:val="1BF2EA49"/>
    <w:rsid w:val="1C2A06A0"/>
    <w:rsid w:val="1C4004C6"/>
    <w:rsid w:val="2003D145"/>
    <w:rsid w:val="219E3810"/>
    <w:rsid w:val="2751588E"/>
    <w:rsid w:val="27B16751"/>
    <w:rsid w:val="27FE1000"/>
    <w:rsid w:val="2B3C9834"/>
    <w:rsid w:val="2E1E6CEB"/>
    <w:rsid w:val="2EF9B189"/>
    <w:rsid w:val="2F5F12BC"/>
    <w:rsid w:val="30F272E5"/>
    <w:rsid w:val="325C4C19"/>
    <w:rsid w:val="34803A7A"/>
    <w:rsid w:val="39A30C87"/>
    <w:rsid w:val="3A9FD9BC"/>
    <w:rsid w:val="3CA47818"/>
    <w:rsid w:val="3CB575B0"/>
    <w:rsid w:val="3D7663B5"/>
    <w:rsid w:val="3DFFCA47"/>
    <w:rsid w:val="3E193CD2"/>
    <w:rsid w:val="3E26285B"/>
    <w:rsid w:val="3EEB3138"/>
    <w:rsid w:val="3EEF88F2"/>
    <w:rsid w:val="3F5815F8"/>
    <w:rsid w:val="3FE3855A"/>
    <w:rsid w:val="40C6523F"/>
    <w:rsid w:val="426F269D"/>
    <w:rsid w:val="436FB4D6"/>
    <w:rsid w:val="43AB15DD"/>
    <w:rsid w:val="43EE6344"/>
    <w:rsid w:val="466A1A1E"/>
    <w:rsid w:val="4A1160A7"/>
    <w:rsid w:val="4B774281"/>
    <w:rsid w:val="4D05688F"/>
    <w:rsid w:val="4DA324B1"/>
    <w:rsid w:val="4E867D0F"/>
    <w:rsid w:val="4FDF6E55"/>
    <w:rsid w:val="4FFE2CF3"/>
    <w:rsid w:val="50B138A7"/>
    <w:rsid w:val="51795883"/>
    <w:rsid w:val="51FFC713"/>
    <w:rsid w:val="57AC4A47"/>
    <w:rsid w:val="5AE98287"/>
    <w:rsid w:val="5AEF165F"/>
    <w:rsid w:val="5AFF8B4F"/>
    <w:rsid w:val="5B6025F5"/>
    <w:rsid w:val="5B800AB2"/>
    <w:rsid w:val="5C8F2694"/>
    <w:rsid w:val="5C8F4B84"/>
    <w:rsid w:val="5D1F1746"/>
    <w:rsid w:val="5DBD99BB"/>
    <w:rsid w:val="5E3A4450"/>
    <w:rsid w:val="5E548C21"/>
    <w:rsid w:val="5ECA6325"/>
    <w:rsid w:val="5F7BD24B"/>
    <w:rsid w:val="6A36E2B5"/>
    <w:rsid w:val="6D9622BD"/>
    <w:rsid w:val="6DF87DA8"/>
    <w:rsid w:val="6E443391"/>
    <w:rsid w:val="6FDB459A"/>
    <w:rsid w:val="6FFB0017"/>
    <w:rsid w:val="6FFF3D77"/>
    <w:rsid w:val="715D5141"/>
    <w:rsid w:val="73EE5A1C"/>
    <w:rsid w:val="75F8D2CB"/>
    <w:rsid w:val="75FD25E3"/>
    <w:rsid w:val="76DD7CBF"/>
    <w:rsid w:val="76E70210"/>
    <w:rsid w:val="76FD8058"/>
    <w:rsid w:val="76FE93A2"/>
    <w:rsid w:val="777C2A8C"/>
    <w:rsid w:val="78CA389A"/>
    <w:rsid w:val="79D6CFED"/>
    <w:rsid w:val="7ABE32E4"/>
    <w:rsid w:val="7AFF5450"/>
    <w:rsid w:val="7BBB0693"/>
    <w:rsid w:val="7C743669"/>
    <w:rsid w:val="7CDF9F89"/>
    <w:rsid w:val="7CF32490"/>
    <w:rsid w:val="7DF73FFA"/>
    <w:rsid w:val="7E185C8E"/>
    <w:rsid w:val="7E6DBBC8"/>
    <w:rsid w:val="7EA7E9E9"/>
    <w:rsid w:val="7EE8E346"/>
    <w:rsid w:val="7EEDB55B"/>
    <w:rsid w:val="7EFD446D"/>
    <w:rsid w:val="7F279D32"/>
    <w:rsid w:val="7F51650C"/>
    <w:rsid w:val="7F6BC596"/>
    <w:rsid w:val="7FDCE060"/>
    <w:rsid w:val="7FFF7F54"/>
    <w:rsid w:val="7FFFD6BF"/>
    <w:rsid w:val="86EEE309"/>
    <w:rsid w:val="98FF3A24"/>
    <w:rsid w:val="9DEFC5A5"/>
    <w:rsid w:val="AEFF4CBA"/>
    <w:rsid w:val="AFFF7FE6"/>
    <w:rsid w:val="B38382DB"/>
    <w:rsid w:val="B6394098"/>
    <w:rsid w:val="B79FB1CF"/>
    <w:rsid w:val="B7CD7CB8"/>
    <w:rsid w:val="B7ED0EA3"/>
    <w:rsid w:val="BA7B23C6"/>
    <w:rsid w:val="BEA5F8CE"/>
    <w:rsid w:val="BEBF434C"/>
    <w:rsid w:val="BFDD9697"/>
    <w:rsid w:val="BFF6EAB5"/>
    <w:rsid w:val="CFFF38E8"/>
    <w:rsid w:val="D3DB0238"/>
    <w:rsid w:val="D4F9B440"/>
    <w:rsid w:val="D59993FB"/>
    <w:rsid w:val="D5FF6328"/>
    <w:rsid w:val="D7D7A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4B2C2F"/>
  <w15:docId w15:val="{FA127583-1F3E-44F7-A17E-7F10ED98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next w:val="a4"/>
    <w:qFormat/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5">
    <w:name w:val="Body Text"/>
    <w:basedOn w:val="a"/>
    <w:qFormat/>
    <w:pPr>
      <w:jc w:val="center"/>
    </w:pPr>
    <w:rPr>
      <w:rFonts w:eastAsia="黑体"/>
      <w:sz w:val="36"/>
    </w:rPr>
  </w:style>
  <w:style w:type="paragraph" w:styleId="a6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">
    <w:name w:val="Body Text First Indent 2"/>
    <w:basedOn w:val="a6"/>
    <w:unhideWhenUsed/>
    <w:qFormat/>
    <w:pPr>
      <w:ind w:firstLineChars="200" w:firstLine="420"/>
    </w:p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qFormat/>
    <w:rPr>
      <w:b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UserStyle14">
    <w:name w:val="UserStyle_14"/>
    <w:basedOn w:val="a"/>
    <w:qFormat/>
    <w:pPr>
      <w:jc w:val="left"/>
    </w:pPr>
    <w:rPr>
      <w:kern w:val="0"/>
      <w:sz w:val="24"/>
    </w:rPr>
  </w:style>
  <w:style w:type="character" w:customStyle="1" w:styleId="NormalCharacter">
    <w:name w:val="NormalCharacter"/>
    <w:qFormat/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1"/>
    <w:qFormat/>
    <w:rPr>
      <w:rFonts w:ascii="Kaiti SC Regular" w:eastAsia="Kaiti SC Regular" w:hAnsi="Kaiti SC Regular" w:cs="Kaiti SC Regular" w:hint="default"/>
      <w:color w:val="000000"/>
      <w:sz w:val="22"/>
      <w:szCs w:val="22"/>
      <w:u w:val="none"/>
    </w:rPr>
  </w:style>
  <w:style w:type="paragraph" w:customStyle="1" w:styleId="11">
    <w:name w:val="列出段落11"/>
    <w:basedOn w:val="a"/>
    <w:uiPriority w:val="99"/>
    <w:qFormat/>
    <w:pPr>
      <w:ind w:firstLineChars="200" w:firstLine="420"/>
    </w:pPr>
    <w:rPr>
      <w:szCs w:val="22"/>
    </w:rPr>
  </w:style>
  <w:style w:type="paragraph" w:customStyle="1" w:styleId="dk">
    <w:name w:val="(dk正文)"/>
    <w:basedOn w:val="a"/>
    <w:qFormat/>
    <w:pPr>
      <w:spacing w:line="360" w:lineRule="auto"/>
      <w:ind w:firstLineChars="200" w:firstLine="200"/>
    </w:pPr>
    <w:rPr>
      <w:kern w:val="0"/>
      <w:sz w:val="30"/>
      <w:szCs w:val="30"/>
    </w:rPr>
  </w:style>
  <w:style w:type="paragraph" w:customStyle="1" w:styleId="ab">
    <w:name w:val="委机关 正文"/>
    <w:basedOn w:val="a"/>
    <w:qFormat/>
    <w:pPr>
      <w:spacing w:line="590" w:lineRule="exact"/>
      <w:ind w:firstLineChars="200" w:firstLine="720"/>
    </w:pPr>
    <w:rPr>
      <w:color w:val="000000"/>
      <w:kern w:val="0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2444</Words>
  <Characters>2493</Characters>
  <Application>Microsoft Office Word</Application>
  <DocSecurity>0</DocSecurity>
  <Lines>113</Lines>
  <Paragraphs>48</Paragraphs>
  <ScaleCrop>false</ScaleCrop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</dc:creator>
  <cp:lastModifiedBy>闽雷 吴</cp:lastModifiedBy>
  <cp:revision>4</cp:revision>
  <cp:lastPrinted>2024-08-16T00:10:00Z</cp:lastPrinted>
  <dcterms:created xsi:type="dcterms:W3CDTF">2020-12-19T15:28:00Z</dcterms:created>
  <dcterms:modified xsi:type="dcterms:W3CDTF">2026-03-20T02:04:00Z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C107D3112D5CE2D8D0399164F6D893BF</vt:lpwstr>
  </property>
</Properties>
</file>