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965748">
      <w:pPr>
        <w:spacing w:line="1200" w:lineRule="exact"/>
        <w:jc w:val="center"/>
        <w:rPr>
          <w:rFonts w:hint="default"/>
          <w:b/>
          <w:bCs/>
          <w:color w:val="000000" w:themeColor="text1"/>
          <w:sz w:val="44"/>
          <w:szCs w:val="44"/>
          <w14:textFill>
            <w14:solidFill>
              <w14:schemeClr w14:val="tx1"/>
            </w14:solidFill>
          </w14:textFill>
        </w:rPr>
      </w:pPr>
      <w:r>
        <w:rPr>
          <w:b/>
          <w:bCs/>
          <w:color w:val="000000" w:themeColor="text1"/>
          <w:sz w:val="44"/>
          <w:szCs w:val="44"/>
          <w14:textFill>
            <w14:solidFill>
              <w14:schemeClr w14:val="tx1"/>
            </w14:solidFill>
          </w14:textFill>
        </w:rPr>
        <w:t>福州市体育运动学校</w:t>
      </w:r>
    </w:p>
    <w:p w14:paraId="5E82954D">
      <w:pPr>
        <w:spacing w:line="1200" w:lineRule="exact"/>
        <w:jc w:val="center"/>
        <w:rPr>
          <w:rFonts w:hint="default"/>
          <w:b/>
          <w:bCs/>
          <w:color w:val="000000" w:themeColor="text1"/>
          <w:sz w:val="48"/>
          <w:szCs w:val="48"/>
          <w14:textFill>
            <w14:solidFill>
              <w14:schemeClr w14:val="tx1"/>
            </w14:solidFill>
          </w14:textFill>
        </w:rPr>
      </w:pPr>
      <w:r>
        <w:rPr>
          <w:b/>
          <w:bCs/>
          <w:color w:val="000000" w:themeColor="text1"/>
          <w:sz w:val="48"/>
          <w:szCs w:val="48"/>
          <w14:textFill>
            <w14:solidFill>
              <w14:schemeClr w14:val="tx1"/>
            </w14:solidFill>
          </w14:textFill>
        </w:rPr>
        <w:t>中等职业教育质量年度报告</w:t>
      </w:r>
    </w:p>
    <w:p w14:paraId="55FBFE20">
      <w:pPr>
        <w:jc w:val="center"/>
        <w:rPr>
          <w:rFonts w:hint="default"/>
          <w:color w:val="000000" w:themeColor="text1"/>
          <w:sz w:val="44"/>
          <w:szCs w:val="44"/>
          <w14:textFill>
            <w14:solidFill>
              <w14:schemeClr w14:val="tx1"/>
            </w14:solidFill>
          </w14:textFill>
        </w:rPr>
      </w:pPr>
    </w:p>
    <w:p w14:paraId="0BC734AC">
      <w:pPr>
        <w:jc w:val="center"/>
        <w:rPr>
          <w:rFonts w:hint="default"/>
          <w:color w:val="000000" w:themeColor="text1"/>
          <w:sz w:val="44"/>
          <w:szCs w:val="44"/>
          <w14:textFill>
            <w14:solidFill>
              <w14:schemeClr w14:val="tx1"/>
            </w14:solidFill>
          </w14:textFill>
        </w:rPr>
      </w:pPr>
    </w:p>
    <w:p w14:paraId="49483124">
      <w:pPr>
        <w:jc w:val="center"/>
        <w:rPr>
          <w:rFonts w:hint="default"/>
          <w:color w:val="000000" w:themeColor="text1"/>
          <w:sz w:val="44"/>
          <w:szCs w:val="44"/>
          <w14:textFill>
            <w14:solidFill>
              <w14:schemeClr w14:val="tx1"/>
            </w14:solidFill>
          </w14:textFill>
        </w:rPr>
      </w:pPr>
      <w:r>
        <w:rPr>
          <w:color w:val="000000" w:themeColor="text1"/>
          <w:sz w:val="44"/>
          <w:szCs w:val="44"/>
          <w14:textFill>
            <w14:solidFill>
              <w14:schemeClr w14:val="tx1"/>
            </w14:solidFill>
          </w14:textFill>
        </w:rPr>
        <w:t>（202</w:t>
      </w:r>
      <w:r>
        <w:rPr>
          <w:rFonts w:hint="eastAsia"/>
          <w:color w:val="000000" w:themeColor="text1"/>
          <w:sz w:val="44"/>
          <w:szCs w:val="44"/>
          <w:lang w:val="en-US" w:eastAsia="zh-CN"/>
          <w14:textFill>
            <w14:solidFill>
              <w14:schemeClr w14:val="tx1"/>
            </w14:solidFill>
          </w14:textFill>
        </w:rPr>
        <w:t>4</w:t>
      </w:r>
      <w:r>
        <w:rPr>
          <w:color w:val="000000" w:themeColor="text1"/>
          <w:sz w:val="44"/>
          <w:szCs w:val="44"/>
          <w14:textFill>
            <w14:solidFill>
              <w14:schemeClr w14:val="tx1"/>
            </w14:solidFill>
          </w14:textFill>
        </w:rPr>
        <w:t>）</w:t>
      </w:r>
    </w:p>
    <w:p w14:paraId="34A9992F">
      <w:pPr>
        <w:pStyle w:val="9"/>
        <w:rPr>
          <w:rFonts w:ascii="Calibri" w:hAnsi="Calibri"/>
          <w:color w:val="000000" w:themeColor="text1"/>
          <w:sz w:val="36"/>
          <w:szCs w:val="36"/>
          <w14:textFill>
            <w14:solidFill>
              <w14:schemeClr w14:val="tx1"/>
            </w14:solidFill>
          </w14:textFill>
        </w:rPr>
      </w:pPr>
    </w:p>
    <w:p w14:paraId="6F13544A">
      <w:pPr>
        <w:pStyle w:val="9"/>
        <w:rPr>
          <w:rFonts w:ascii="Calibri" w:hAnsi="Calibri"/>
          <w:color w:val="000000" w:themeColor="text1"/>
          <w:sz w:val="36"/>
          <w:szCs w:val="36"/>
          <w14:textFill>
            <w14:solidFill>
              <w14:schemeClr w14:val="tx1"/>
            </w14:solidFill>
          </w14:textFill>
        </w:rPr>
      </w:pPr>
    </w:p>
    <w:p w14:paraId="7A32F1B7">
      <w:pPr>
        <w:pStyle w:val="9"/>
        <w:rPr>
          <w:rFonts w:ascii="Calibri" w:hAnsi="Calibri"/>
          <w:color w:val="000000" w:themeColor="text1"/>
          <w:sz w:val="36"/>
          <w:szCs w:val="36"/>
          <w14:textFill>
            <w14:solidFill>
              <w14:schemeClr w14:val="tx1"/>
            </w14:solidFill>
          </w14:textFill>
        </w:rPr>
      </w:pPr>
    </w:p>
    <w:p w14:paraId="59FD306A">
      <w:pPr>
        <w:pStyle w:val="9"/>
        <w:rPr>
          <w:rFonts w:ascii="Calibri" w:hAnsi="Calibri"/>
          <w:color w:val="000000" w:themeColor="text1"/>
          <w:sz w:val="36"/>
          <w:szCs w:val="36"/>
          <w14:textFill>
            <w14:solidFill>
              <w14:schemeClr w14:val="tx1"/>
            </w14:solidFill>
          </w14:textFill>
        </w:rPr>
      </w:pPr>
    </w:p>
    <w:p w14:paraId="165D47B9">
      <w:pPr>
        <w:pStyle w:val="9"/>
        <w:rPr>
          <w:rFonts w:ascii="Calibri" w:hAnsi="Calibri"/>
          <w:color w:val="000000" w:themeColor="text1"/>
          <w:sz w:val="36"/>
          <w:szCs w:val="36"/>
          <w14:textFill>
            <w14:solidFill>
              <w14:schemeClr w14:val="tx1"/>
            </w14:solidFill>
          </w14:textFill>
        </w:rPr>
      </w:pPr>
    </w:p>
    <w:p w14:paraId="619A22ED">
      <w:pPr>
        <w:pStyle w:val="9"/>
        <w:rPr>
          <w:rFonts w:ascii="Calibri" w:hAnsi="Calibri"/>
          <w:color w:val="000000" w:themeColor="text1"/>
          <w:sz w:val="36"/>
          <w:szCs w:val="36"/>
          <w14:textFill>
            <w14:solidFill>
              <w14:schemeClr w14:val="tx1"/>
            </w14:solidFill>
          </w14:textFill>
        </w:rPr>
      </w:pPr>
    </w:p>
    <w:p w14:paraId="3A823026">
      <w:pPr>
        <w:pStyle w:val="9"/>
        <w:rPr>
          <w:rFonts w:ascii="Calibri" w:hAnsi="Calibri"/>
          <w:color w:val="000000" w:themeColor="text1"/>
          <w:sz w:val="36"/>
          <w:szCs w:val="36"/>
          <w14:textFill>
            <w14:solidFill>
              <w14:schemeClr w14:val="tx1"/>
            </w14:solidFill>
          </w14:textFill>
        </w:rPr>
      </w:pPr>
    </w:p>
    <w:p w14:paraId="7B75CF01">
      <w:pPr>
        <w:pStyle w:val="9"/>
        <w:rPr>
          <w:rFonts w:ascii="Calibri" w:hAnsi="Calibri"/>
          <w:color w:val="000000" w:themeColor="text1"/>
          <w:sz w:val="36"/>
          <w:szCs w:val="36"/>
          <w14:textFill>
            <w14:solidFill>
              <w14:schemeClr w14:val="tx1"/>
            </w14:solidFill>
          </w14:textFill>
        </w:rPr>
      </w:pPr>
    </w:p>
    <w:p w14:paraId="14AF5F52">
      <w:pPr>
        <w:pStyle w:val="9"/>
        <w:rPr>
          <w:rFonts w:ascii="Calibri" w:hAnsi="Calibri"/>
          <w:color w:val="000000" w:themeColor="text1"/>
          <w:sz w:val="36"/>
          <w:szCs w:val="36"/>
          <w14:textFill>
            <w14:solidFill>
              <w14:schemeClr w14:val="tx1"/>
            </w14:solidFill>
          </w14:textFill>
        </w:rPr>
      </w:pPr>
    </w:p>
    <w:p w14:paraId="6E815492">
      <w:pPr>
        <w:pStyle w:val="9"/>
        <w:rPr>
          <w:rFonts w:ascii="Calibri" w:hAnsi="Calibri"/>
          <w:color w:val="000000" w:themeColor="text1"/>
          <w:sz w:val="36"/>
          <w:szCs w:val="36"/>
          <w14:textFill>
            <w14:solidFill>
              <w14:schemeClr w14:val="tx1"/>
            </w14:solidFill>
          </w14:textFill>
        </w:rPr>
      </w:pPr>
    </w:p>
    <w:p w14:paraId="65C4CB44">
      <w:pPr>
        <w:pStyle w:val="9"/>
        <w:rPr>
          <w:rFonts w:ascii="Calibri" w:hAnsi="Calibri"/>
          <w:color w:val="000000" w:themeColor="text1"/>
          <w:sz w:val="36"/>
          <w:szCs w:val="36"/>
          <w14:textFill>
            <w14:solidFill>
              <w14:schemeClr w14:val="tx1"/>
            </w14:solidFill>
          </w14:textFill>
        </w:rPr>
      </w:pPr>
    </w:p>
    <w:p w14:paraId="128EEA7B">
      <w:pPr>
        <w:pStyle w:val="9"/>
        <w:rPr>
          <w:rFonts w:ascii="Calibri" w:hAnsi="Calibri"/>
          <w:color w:val="000000" w:themeColor="text1"/>
          <w:sz w:val="36"/>
          <w:szCs w:val="36"/>
          <w14:textFill>
            <w14:solidFill>
              <w14:schemeClr w14:val="tx1"/>
            </w14:solidFill>
          </w14:textFill>
        </w:rPr>
      </w:pPr>
    </w:p>
    <w:p w14:paraId="47BECBF1">
      <w:pPr>
        <w:pStyle w:val="9"/>
        <w:rPr>
          <w:rFonts w:ascii="Calibri" w:hAnsi="Calibri"/>
          <w:color w:val="000000" w:themeColor="text1"/>
          <w:sz w:val="36"/>
          <w:szCs w:val="36"/>
          <w14:textFill>
            <w14:solidFill>
              <w14:schemeClr w14:val="tx1"/>
            </w14:solidFill>
          </w14:textFill>
        </w:rPr>
      </w:pPr>
    </w:p>
    <w:p w14:paraId="768CAABD">
      <w:pPr>
        <w:pStyle w:val="9"/>
        <w:jc w:val="center"/>
        <w:rPr>
          <w:rFonts w:ascii="Calibri" w:hAnsi="Calibri"/>
          <w:b/>
          <w:bCs/>
          <w:color w:val="000000" w:themeColor="text1"/>
          <w:sz w:val="44"/>
          <w:szCs w:val="44"/>
          <w14:textFill>
            <w14:solidFill>
              <w14:schemeClr w14:val="tx1"/>
            </w14:solidFill>
          </w14:textFill>
        </w:rPr>
      </w:pPr>
      <w:r>
        <w:rPr>
          <w:rFonts w:hint="eastAsia" w:ascii="Calibri" w:hAnsi="Calibri"/>
          <w:b/>
          <w:bCs/>
          <w:color w:val="000000" w:themeColor="text1"/>
          <w:sz w:val="44"/>
          <w:szCs w:val="44"/>
          <w14:textFill>
            <w14:solidFill>
              <w14:schemeClr w14:val="tx1"/>
            </w14:solidFill>
          </w14:textFill>
        </w:rPr>
        <w:t>二〇二</w:t>
      </w:r>
      <w:r>
        <w:rPr>
          <w:rFonts w:hint="eastAsia" w:ascii="Calibri" w:hAnsi="Calibri"/>
          <w:b/>
          <w:bCs/>
          <w:color w:val="000000" w:themeColor="text1"/>
          <w:sz w:val="44"/>
          <w:szCs w:val="44"/>
          <w:lang w:eastAsia="zh-CN"/>
          <w14:textFill>
            <w14:solidFill>
              <w14:schemeClr w14:val="tx1"/>
            </w14:solidFill>
          </w14:textFill>
        </w:rPr>
        <w:t>四</w:t>
      </w:r>
      <w:r>
        <w:rPr>
          <w:rFonts w:hint="eastAsia" w:ascii="Calibri" w:hAnsi="Calibri"/>
          <w:b/>
          <w:bCs/>
          <w:color w:val="000000" w:themeColor="text1"/>
          <w:sz w:val="44"/>
          <w:szCs w:val="44"/>
          <w14:textFill>
            <w14:solidFill>
              <w14:schemeClr w14:val="tx1"/>
            </w14:solidFill>
          </w14:textFill>
        </w:rPr>
        <w:t>年十二月</w:t>
      </w:r>
    </w:p>
    <w:p w14:paraId="529B99AF">
      <w:pPr>
        <w:rPr>
          <w:rFonts w:hint="default"/>
          <w:color w:val="000000" w:themeColor="text1"/>
          <w14:textFill>
            <w14:solidFill>
              <w14:schemeClr w14:val="tx1"/>
            </w14:solidFill>
          </w14:textFill>
        </w:rPr>
      </w:pPr>
    </w:p>
    <w:p w14:paraId="61852FA4">
      <w:pPr>
        <w:pStyle w:val="9"/>
      </w:pPr>
    </w:p>
    <w:p w14:paraId="22C8F5B3">
      <w:pPr>
        <w:pStyle w:val="9"/>
        <w:rPr>
          <w:rFonts w:ascii="Calibri" w:hAnsi="Calibri"/>
          <w:color w:val="000000" w:themeColor="text1"/>
          <w:sz w:val="36"/>
          <w:szCs w:val="36"/>
          <w14:textFill>
            <w14:solidFill>
              <w14:schemeClr w14:val="tx1"/>
            </w14:solidFill>
          </w14:textFill>
        </w:rPr>
      </w:pPr>
    </w:p>
    <w:p w14:paraId="1DABF75D">
      <w:pPr>
        <w:pStyle w:val="9"/>
        <w:rPr>
          <w:rFonts w:hint="eastAsia" w:ascii="Calibri" w:hAnsi="Calibri" w:eastAsia="仿宋_GB2312"/>
          <w:color w:val="000000" w:themeColor="text1"/>
          <w:sz w:val="36"/>
          <w:szCs w:val="36"/>
          <w:lang w:eastAsia="zh-CN"/>
          <w14:textFill>
            <w14:solidFill>
              <w14:schemeClr w14:val="tx1"/>
            </w14:solidFill>
          </w14:textFill>
        </w:rPr>
      </w:pPr>
      <w:r>
        <w:rPr>
          <w:rFonts w:hint="eastAsia" w:ascii="Calibri" w:hAnsi="Calibri" w:eastAsia="仿宋_GB2312"/>
          <w:color w:val="000000" w:themeColor="text1"/>
          <w:sz w:val="36"/>
          <w:szCs w:val="36"/>
          <w:lang w:eastAsia="zh-CN"/>
          <w14:textFill>
            <w14:solidFill>
              <w14:schemeClr w14:val="tx1"/>
            </w14:solidFill>
          </w14:textFill>
        </w:rPr>
        <w:drawing>
          <wp:inline distT="0" distB="0" distL="114300" distR="114300">
            <wp:extent cx="5715000" cy="7971155"/>
            <wp:effectExtent l="0" t="0" r="0" b="10795"/>
            <wp:docPr id="12" name="图片 12" descr="c48ae943fdec9e1dc475b2e207ee5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48ae943fdec9e1dc475b2e207ee5b7"/>
                    <pic:cNvPicPr>
                      <a:picLocks noChangeAspect="1"/>
                    </pic:cNvPicPr>
                  </pic:nvPicPr>
                  <pic:blipFill>
                    <a:blip r:embed="rId6"/>
                    <a:srcRect l="1227" t="17899" r="2251" b="19894"/>
                    <a:stretch>
                      <a:fillRect/>
                    </a:stretch>
                  </pic:blipFill>
                  <pic:spPr>
                    <a:xfrm>
                      <a:off x="0" y="0"/>
                      <a:ext cx="5715000" cy="7971155"/>
                    </a:xfrm>
                    <a:prstGeom prst="rect">
                      <a:avLst/>
                    </a:prstGeom>
                  </pic:spPr>
                </pic:pic>
              </a:graphicData>
            </a:graphic>
          </wp:inline>
        </w:drawing>
      </w:r>
    </w:p>
    <w:p w14:paraId="333F80B0">
      <w:pPr>
        <w:pStyle w:val="9"/>
        <w:rPr>
          <w:rFonts w:ascii="Calibri" w:hAnsi="Calibri"/>
          <w:color w:val="000000" w:themeColor="text1"/>
          <w:sz w:val="36"/>
          <w:szCs w:val="36"/>
          <w14:textFill>
            <w14:solidFill>
              <w14:schemeClr w14:val="tx1"/>
            </w14:solidFill>
          </w14:textFill>
        </w:rPr>
      </w:pPr>
    </w:p>
    <w:p w14:paraId="63F0D007">
      <w:pPr>
        <w:jc w:val="center"/>
        <w:rPr>
          <w:rFonts w:hint="default" w:ascii="宋体" w:hAnsi="宋体"/>
          <w:b/>
          <w:bCs/>
          <w:kern w:val="0"/>
          <w:szCs w:val="32"/>
        </w:rPr>
      </w:pPr>
      <w:r>
        <w:rPr>
          <w:rFonts w:ascii="宋体" w:hAnsi="宋体"/>
          <w:b/>
          <w:bCs/>
          <w:kern w:val="0"/>
          <w:szCs w:val="32"/>
        </w:rPr>
        <w:t>前言</w:t>
      </w:r>
    </w:p>
    <w:p w14:paraId="7F3C43A1">
      <w:pPr>
        <w:ind w:firstLine="560" w:firstLineChars="200"/>
        <w:rPr>
          <w:rFonts w:hint="default" w:ascii="宋体" w:hAnsi="宋体"/>
          <w:kern w:val="0"/>
          <w:sz w:val="28"/>
          <w:szCs w:val="28"/>
        </w:rPr>
      </w:pPr>
      <w:r>
        <w:rPr>
          <w:rFonts w:ascii="宋体" w:hAnsi="宋体"/>
          <w:kern w:val="0"/>
          <w:sz w:val="28"/>
          <w:szCs w:val="28"/>
        </w:rPr>
        <w:t>为了更好的地总结学校办学经验，根据《</w:t>
      </w:r>
      <w:r>
        <w:rPr>
          <w:rFonts w:hint="eastAsia" w:ascii="宋体" w:hAnsi="宋体"/>
          <w:kern w:val="0"/>
          <w:sz w:val="28"/>
          <w:szCs w:val="28"/>
        </w:rPr>
        <w:t>榕教办职〔2024〕7号福州市教育局办公室关于做好2024年度中等职业教育质量报告编制、发布和报送工作的通知</w:t>
      </w:r>
      <w:r>
        <w:rPr>
          <w:rFonts w:ascii="宋体" w:hAnsi="宋体"/>
          <w:kern w:val="0"/>
          <w:sz w:val="28"/>
          <w:szCs w:val="28"/>
        </w:rPr>
        <w:t>》，特编制本职业教育质量报告。</w:t>
      </w:r>
    </w:p>
    <w:p w14:paraId="71168399">
      <w:pPr>
        <w:ind w:firstLine="560" w:firstLineChars="200"/>
        <w:rPr>
          <w:rFonts w:hint="default" w:ascii="宋体" w:hAnsi="宋体"/>
          <w:kern w:val="0"/>
          <w:sz w:val="28"/>
          <w:szCs w:val="28"/>
        </w:rPr>
      </w:pPr>
      <w:r>
        <w:rPr>
          <w:rFonts w:ascii="宋体" w:hAnsi="宋体"/>
          <w:kern w:val="0"/>
          <w:sz w:val="28"/>
          <w:szCs w:val="28"/>
        </w:rPr>
        <w:t>福州市体育运动学校是全市唯一的全日制体育中等专业（职业）学校，承担为国家输送优秀体育后备人才，培养中等体育专业人才，负责市级训练单位运动员文化教育，及省运会、青运会、全国U系列等备战参赛任务。我校坚持体育特色办学，全面贯彻党的教育方针，发挥党建引领作用，以立德树人为根本，深化教育教学、训练改革，落实“读训并重”原则，进一步提升学校办学水平，提高人才培养质量。</w:t>
      </w:r>
    </w:p>
    <w:p w14:paraId="20440A6A">
      <w:pPr>
        <w:ind w:firstLine="560" w:firstLineChars="200"/>
        <w:rPr>
          <w:rFonts w:hint="default" w:ascii="宋体" w:hAnsi="宋体"/>
          <w:kern w:val="0"/>
          <w:sz w:val="28"/>
          <w:szCs w:val="28"/>
        </w:rPr>
      </w:pPr>
      <w:r>
        <w:rPr>
          <w:rFonts w:ascii="宋体" w:hAnsi="宋体"/>
          <w:kern w:val="0"/>
          <w:sz w:val="28"/>
          <w:szCs w:val="28"/>
        </w:rPr>
        <w:t>2023年10月结束的第十九届亚运会中，由我校输送的运动员高浩楠、陈惠颖、林雨薇、龚莉、翁泓阳、黄先婷、兰天辰、王哲林共取得6枚金牌，1枚银牌，1枚铜牌。</w:t>
      </w:r>
    </w:p>
    <w:p w14:paraId="13535345">
      <w:pPr>
        <w:ind w:firstLine="560" w:firstLineChars="200"/>
        <w:rPr>
          <w:rFonts w:hint="default" w:ascii="宋体" w:hAnsi="宋体"/>
          <w:kern w:val="0"/>
          <w:sz w:val="28"/>
          <w:szCs w:val="28"/>
        </w:rPr>
      </w:pPr>
      <w:r>
        <w:rPr>
          <w:rFonts w:hint="eastAsia" w:ascii="宋体" w:hAnsi="宋体"/>
          <w:kern w:val="0"/>
          <w:sz w:val="28"/>
          <w:szCs w:val="28"/>
        </w:rPr>
        <w:t>第一届全国学生（青年）运动会我校承担了13个项目的组队参赛工作，</w:t>
      </w:r>
      <w:r>
        <w:rPr>
          <w:rFonts w:ascii="宋体" w:hAnsi="宋体"/>
          <w:kern w:val="0"/>
          <w:sz w:val="28"/>
          <w:szCs w:val="28"/>
        </w:rPr>
        <w:t>共为福州市体育代表团赢得8金、11银、10铜。</w:t>
      </w:r>
    </w:p>
    <w:p w14:paraId="24A40DB1">
      <w:pPr>
        <w:ind w:firstLine="560" w:firstLineChars="200"/>
        <w:rPr>
          <w:rFonts w:hint="default" w:ascii="宋体" w:hAnsi="宋体"/>
          <w:kern w:val="0"/>
          <w:sz w:val="28"/>
          <w:szCs w:val="28"/>
        </w:rPr>
      </w:pPr>
      <w:r>
        <w:rPr>
          <w:rFonts w:hint="eastAsia" w:ascii="宋体" w:hAnsi="宋体"/>
          <w:kern w:val="0"/>
          <w:sz w:val="28"/>
          <w:szCs w:val="28"/>
        </w:rPr>
        <w:t>2024年省青少年锦标赛中，我校组队参加20个项目（霹雳舞、攀岩项目不带分带牌）的比赛，共获得15枚金牌，8枚银牌，6枚铜牌的好成绩。</w:t>
      </w:r>
      <w:r>
        <w:rPr>
          <w:rFonts w:ascii="宋体" w:hAnsi="宋体"/>
          <w:kern w:val="0"/>
          <w:sz w:val="28"/>
          <w:szCs w:val="28"/>
        </w:rPr>
        <w:t>为十八届省运会福州市取得“三个第一”</w:t>
      </w:r>
      <w:r>
        <w:rPr>
          <w:rFonts w:hint="eastAsia" w:ascii="宋体" w:hAnsi="宋体"/>
          <w:kern w:val="0"/>
          <w:sz w:val="28"/>
          <w:szCs w:val="28"/>
          <w:lang w:eastAsia="zh-CN"/>
        </w:rPr>
        <w:t>奠定了基础</w:t>
      </w:r>
      <w:r>
        <w:rPr>
          <w:rFonts w:ascii="宋体" w:hAnsi="宋体"/>
          <w:kern w:val="0"/>
          <w:sz w:val="28"/>
          <w:szCs w:val="28"/>
        </w:rPr>
        <w:t>。</w:t>
      </w:r>
    </w:p>
    <w:p w14:paraId="4382DBEB">
      <w:pPr>
        <w:ind w:firstLine="560" w:firstLineChars="200"/>
        <w:rPr>
          <w:rFonts w:hint="default" w:ascii="宋体" w:hAnsi="宋体"/>
          <w:kern w:val="0"/>
          <w:sz w:val="28"/>
          <w:szCs w:val="28"/>
        </w:rPr>
      </w:pPr>
    </w:p>
    <w:p w14:paraId="513FFC1C">
      <w:pPr>
        <w:pStyle w:val="9"/>
        <w:rPr>
          <w:rFonts w:ascii="Calibri" w:hAnsi="Calibri"/>
          <w:color w:val="000000" w:themeColor="text1"/>
          <w:sz w:val="32"/>
          <w14:textFill>
            <w14:solidFill>
              <w14:schemeClr w14:val="tx1"/>
            </w14:solidFill>
          </w14:textFill>
        </w:rPr>
        <w:sectPr>
          <w:pgSz w:w="11906" w:h="16838"/>
          <w:pgMar w:top="1440" w:right="1800" w:bottom="1440" w:left="1800" w:header="851" w:footer="992" w:gutter="0"/>
          <w:cols w:space="425" w:num="1"/>
          <w:docGrid w:type="lines" w:linePitch="312" w:charSpace="0"/>
        </w:sectPr>
      </w:pPr>
    </w:p>
    <w:sdt>
      <w:sdtPr>
        <w:rPr>
          <w:rFonts w:ascii="宋体" w:hAnsi="宋体" w:eastAsia="宋体"/>
          <w:color w:val="000000" w:themeColor="text1"/>
          <w:sz w:val="48"/>
          <w:szCs w:val="48"/>
          <w14:textFill>
            <w14:solidFill>
              <w14:schemeClr w14:val="tx1"/>
            </w14:solidFill>
          </w14:textFill>
        </w:rPr>
        <w:id w:val="147460063"/>
        <w:docPartObj>
          <w:docPartGallery w:val="Table of Contents"/>
          <w:docPartUnique/>
        </w:docPartObj>
      </w:sdtPr>
      <w:sdtEndPr>
        <w:rPr>
          <w:rFonts w:ascii="宋体" w:hAnsi="宋体" w:eastAsia="宋体"/>
          <w:color w:val="000000" w:themeColor="text1"/>
          <w:sz w:val="28"/>
          <w:szCs w:val="28"/>
          <w14:textFill>
            <w14:solidFill>
              <w14:schemeClr w14:val="tx1"/>
            </w14:solidFill>
          </w14:textFill>
        </w:rPr>
      </w:sdtEndPr>
      <w:sdtContent>
        <w:p w14:paraId="75E44D30">
          <w:pPr>
            <w:jc w:val="center"/>
            <w:rPr>
              <w:rFonts w:hint="default" w:ascii="宋体" w:hAnsi="宋体" w:eastAsia="宋体"/>
              <w:color w:val="000000" w:themeColor="text1"/>
              <w:sz w:val="48"/>
              <w:szCs w:val="48"/>
              <w14:textFill>
                <w14:solidFill>
                  <w14:schemeClr w14:val="tx1"/>
                </w14:solidFill>
              </w14:textFill>
            </w:rPr>
          </w:pPr>
        </w:p>
        <w:p w14:paraId="450754E1">
          <w:pPr>
            <w:jc w:val="center"/>
            <w:rPr>
              <w:rFonts w:hint="default"/>
              <w:color w:val="000000" w:themeColor="text1"/>
              <w:szCs w:val="32"/>
              <w14:textFill>
                <w14:solidFill>
                  <w14:schemeClr w14:val="tx1"/>
                </w14:solidFill>
              </w14:textFill>
            </w:rPr>
          </w:pPr>
          <w:r>
            <w:rPr>
              <w:rFonts w:ascii="宋体" w:hAnsi="宋体" w:eastAsia="宋体"/>
              <w:color w:val="000000" w:themeColor="text1"/>
              <w:szCs w:val="32"/>
              <w14:textFill>
                <w14:solidFill>
                  <w14:schemeClr w14:val="tx1"/>
                </w14:solidFill>
              </w14:textFill>
            </w:rPr>
            <w:t>目录</w:t>
          </w:r>
        </w:p>
        <w:p w14:paraId="643B41B6">
          <w:pPr>
            <w:pStyle w:val="14"/>
            <w:tabs>
              <w:tab w:val="right" w:leader="dot" w:pos="8306"/>
            </w:tabs>
            <w:spacing w:line="500" w:lineRule="exact"/>
            <w:ind w:left="640"/>
            <w:rPr>
              <w:rFonts w:hint="default"/>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TOC \o "1-3" \h \u </w:instrText>
          </w:r>
          <w:r>
            <w:rPr>
              <w:color w:val="000000" w:themeColor="text1"/>
              <w:sz w:val="28"/>
              <w:szCs w:val="28"/>
              <w14:textFill>
                <w14:solidFill>
                  <w14:schemeClr w14:val="tx1"/>
                </w14:solidFill>
              </w14:textFill>
            </w:rPr>
            <w:fldChar w:fldCharType="separate"/>
          </w:r>
          <w:r>
            <w:fldChar w:fldCharType="begin"/>
          </w:r>
          <w:r>
            <w:instrText xml:space="preserve"> HYPERLINK \l "_Toc31170" </w:instrText>
          </w:r>
          <w:r>
            <w:fldChar w:fldCharType="separate"/>
          </w:r>
          <w:r>
            <w:rPr>
              <w:color w:val="000000" w:themeColor="text1"/>
              <w:sz w:val="28"/>
              <w:szCs w:val="28"/>
              <w14:textFill>
                <w14:solidFill>
                  <w14:schemeClr w14:val="tx1"/>
                </w14:solidFill>
              </w14:textFill>
            </w:rPr>
            <w:t>1 人才培养</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1</w:t>
          </w:r>
          <w:r>
            <w:rPr>
              <w:color w:val="000000" w:themeColor="text1"/>
              <w:sz w:val="28"/>
              <w:szCs w:val="28"/>
              <w14:textFill>
                <w14:solidFill>
                  <w14:schemeClr w14:val="tx1"/>
                </w14:solidFill>
              </w14:textFill>
            </w:rPr>
            <w:fldChar w:fldCharType="end"/>
          </w:r>
        </w:p>
        <w:p w14:paraId="7A52C8B3">
          <w:pPr>
            <w:pStyle w:val="8"/>
            <w:tabs>
              <w:tab w:val="right" w:leader="dot" w:pos="8306"/>
            </w:tabs>
            <w:spacing w:line="500" w:lineRule="exact"/>
            <w:ind w:left="1280"/>
            <w:rPr>
              <w:rFonts w:hint="default"/>
              <w:color w:val="000000" w:themeColor="text1"/>
              <w:sz w:val="28"/>
              <w:szCs w:val="28"/>
              <w14:textFill>
                <w14:solidFill>
                  <w14:schemeClr w14:val="tx1"/>
                </w14:solidFill>
              </w14:textFill>
            </w:rPr>
          </w:pPr>
          <w:r>
            <w:fldChar w:fldCharType="begin"/>
          </w:r>
          <w:r>
            <w:instrText xml:space="preserve"> HYPERLINK \l "_Toc8218" </w:instrText>
          </w:r>
          <w:r>
            <w:fldChar w:fldCharType="separate"/>
          </w:r>
          <w:r>
            <w:rPr>
              <w:color w:val="000000" w:themeColor="text1"/>
              <w:sz w:val="28"/>
              <w:szCs w:val="28"/>
              <w14:textFill>
                <w14:solidFill>
                  <w14:schemeClr w14:val="tx1"/>
                </w14:solidFill>
              </w14:textFill>
            </w:rPr>
            <w:t>1.1党建引领</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_Toc8218 \h </w:instrText>
          </w:r>
          <w:r>
            <w:rPr>
              <w:color w:val="000000" w:themeColor="text1"/>
              <w:sz w:val="28"/>
              <w:szCs w:val="28"/>
              <w14:textFill>
                <w14:solidFill>
                  <w14:schemeClr w14:val="tx1"/>
                </w14:solidFill>
              </w14:textFill>
            </w:rPr>
            <w:fldChar w:fldCharType="separate"/>
          </w:r>
          <w:r>
            <w:rPr>
              <w:rFonts w:hint="default"/>
              <w:color w:val="000000" w:themeColor="text1"/>
              <w:sz w:val="28"/>
              <w:szCs w:val="28"/>
              <w14:textFill>
                <w14:solidFill>
                  <w14:schemeClr w14:val="tx1"/>
                </w14:solidFill>
              </w14:textFill>
            </w:rPr>
            <w:t>1</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14:paraId="17B194BF">
          <w:pPr>
            <w:pStyle w:val="8"/>
            <w:tabs>
              <w:tab w:val="right" w:leader="dot" w:pos="8306"/>
            </w:tabs>
            <w:spacing w:line="500" w:lineRule="exact"/>
            <w:ind w:left="1280"/>
            <w:rPr>
              <w:rFonts w:hint="default"/>
              <w:color w:val="000000" w:themeColor="text1"/>
              <w:sz w:val="28"/>
              <w:szCs w:val="28"/>
              <w14:textFill>
                <w14:solidFill>
                  <w14:schemeClr w14:val="tx1"/>
                </w14:solidFill>
              </w14:textFill>
            </w:rPr>
          </w:pPr>
          <w:r>
            <w:fldChar w:fldCharType="begin"/>
          </w:r>
          <w:r>
            <w:instrText xml:space="preserve"> HYPERLINK \l "_Toc13075" </w:instrText>
          </w:r>
          <w:r>
            <w:fldChar w:fldCharType="separate"/>
          </w:r>
          <w:r>
            <w:rPr>
              <w:color w:val="000000" w:themeColor="text1"/>
              <w:sz w:val="28"/>
              <w:szCs w:val="28"/>
              <w14:textFill>
                <w14:solidFill>
                  <w14:schemeClr w14:val="tx1"/>
                </w14:solidFill>
              </w14:textFill>
            </w:rPr>
            <w:t>1.2德育工作</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2</w:t>
          </w:r>
          <w:r>
            <w:rPr>
              <w:color w:val="000000" w:themeColor="text1"/>
              <w:sz w:val="28"/>
              <w:szCs w:val="28"/>
              <w14:textFill>
                <w14:solidFill>
                  <w14:schemeClr w14:val="tx1"/>
                </w14:solidFill>
              </w14:textFill>
            </w:rPr>
            <w:fldChar w:fldCharType="end"/>
          </w:r>
        </w:p>
        <w:p w14:paraId="176CED59">
          <w:pPr>
            <w:pStyle w:val="8"/>
            <w:tabs>
              <w:tab w:val="right" w:leader="dot" w:pos="8306"/>
            </w:tabs>
            <w:spacing w:line="500" w:lineRule="exact"/>
            <w:ind w:left="1280"/>
            <w:rPr>
              <w:rFonts w:hint="default"/>
              <w:color w:val="000000" w:themeColor="text1"/>
              <w:sz w:val="28"/>
              <w:szCs w:val="28"/>
              <w14:textFill>
                <w14:solidFill>
                  <w14:schemeClr w14:val="tx1"/>
                </w14:solidFill>
              </w14:textFill>
            </w:rPr>
          </w:pPr>
          <w:r>
            <w:fldChar w:fldCharType="begin"/>
          </w:r>
          <w:r>
            <w:instrText xml:space="preserve"> HYPERLINK \l "_Toc24665" </w:instrText>
          </w:r>
          <w:r>
            <w:fldChar w:fldCharType="separate"/>
          </w:r>
          <w:r>
            <w:rPr>
              <w:color w:val="000000" w:themeColor="text1"/>
              <w:sz w:val="28"/>
              <w:szCs w:val="28"/>
              <w14:textFill>
                <w14:solidFill>
                  <w14:schemeClr w14:val="tx1"/>
                </w14:solidFill>
              </w14:textFill>
            </w:rPr>
            <w:t>1.3教师团队建设</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7</w:t>
          </w:r>
          <w:r>
            <w:rPr>
              <w:color w:val="000000" w:themeColor="text1"/>
              <w:sz w:val="28"/>
              <w:szCs w:val="28"/>
              <w14:textFill>
                <w14:solidFill>
                  <w14:schemeClr w14:val="tx1"/>
                </w14:solidFill>
              </w14:textFill>
            </w:rPr>
            <w:fldChar w:fldCharType="end"/>
          </w:r>
        </w:p>
        <w:p w14:paraId="42F51A71">
          <w:pPr>
            <w:pStyle w:val="8"/>
            <w:tabs>
              <w:tab w:val="right" w:leader="dot" w:pos="8306"/>
            </w:tabs>
            <w:spacing w:line="500" w:lineRule="exact"/>
            <w:ind w:left="1280"/>
            <w:rPr>
              <w:rFonts w:hint="default"/>
              <w:color w:val="000000" w:themeColor="text1"/>
              <w:sz w:val="28"/>
              <w:szCs w:val="28"/>
              <w14:textFill>
                <w14:solidFill>
                  <w14:schemeClr w14:val="tx1"/>
                </w14:solidFill>
              </w14:textFill>
            </w:rPr>
          </w:pPr>
          <w:r>
            <w:fldChar w:fldCharType="begin"/>
          </w:r>
          <w:r>
            <w:instrText xml:space="preserve"> HYPERLINK \l "_Toc32104" </w:instrText>
          </w:r>
          <w:r>
            <w:fldChar w:fldCharType="separate"/>
          </w:r>
          <w:r>
            <w:rPr>
              <w:color w:val="000000" w:themeColor="text1"/>
              <w:sz w:val="28"/>
              <w:szCs w:val="28"/>
              <w14:textFill>
                <w14:solidFill>
                  <w14:schemeClr w14:val="tx1"/>
                </w14:solidFill>
              </w14:textFill>
            </w:rPr>
            <w:t>1.4升学就业质量</w:t>
          </w:r>
          <w:r>
            <w:rPr>
              <w:color w:val="000000" w:themeColor="text1"/>
              <w:sz w:val="28"/>
              <w:szCs w:val="28"/>
              <w14:textFill>
                <w14:solidFill>
                  <w14:schemeClr w14:val="tx1"/>
                </w14:solidFill>
              </w14:textFill>
            </w:rPr>
            <w:tab/>
          </w:r>
          <w:r>
            <w:rPr>
              <w:rFonts w:hint="eastAsia"/>
              <w:color w:val="000000" w:themeColor="text1"/>
              <w:sz w:val="28"/>
              <w:szCs w:val="28"/>
              <w:lang w:val="en-US" w:eastAsia="zh-CN"/>
              <w14:textFill>
                <w14:solidFill>
                  <w14:schemeClr w14:val="tx1"/>
                </w14:solidFill>
              </w14:textFill>
            </w:rPr>
            <w:t>8</w:t>
          </w:r>
          <w:r>
            <w:rPr>
              <w:color w:val="000000" w:themeColor="text1"/>
              <w:sz w:val="28"/>
              <w:szCs w:val="28"/>
              <w14:textFill>
                <w14:solidFill>
                  <w14:schemeClr w14:val="tx1"/>
                </w14:solidFill>
              </w14:textFill>
            </w:rPr>
            <w:fldChar w:fldCharType="end"/>
          </w:r>
        </w:p>
        <w:p w14:paraId="73673B1A">
          <w:pPr>
            <w:pStyle w:val="8"/>
            <w:tabs>
              <w:tab w:val="right" w:leader="dot" w:pos="8306"/>
            </w:tabs>
            <w:spacing w:line="500" w:lineRule="exact"/>
            <w:ind w:left="1280"/>
            <w:rPr>
              <w:rFonts w:hint="eastAsia" w:eastAsia="仿宋_GB2312"/>
              <w:color w:val="000000" w:themeColor="text1"/>
              <w:sz w:val="28"/>
              <w:szCs w:val="28"/>
              <w:lang w:val="en-US" w:eastAsia="zh-CN"/>
              <w14:textFill>
                <w14:solidFill>
                  <w14:schemeClr w14:val="tx1"/>
                </w14:solidFill>
              </w14:textFill>
            </w:rPr>
          </w:pPr>
          <w:r>
            <w:fldChar w:fldCharType="begin"/>
          </w:r>
          <w:r>
            <w:instrText xml:space="preserve"> HYPERLINK \l "_Toc28996" </w:instrText>
          </w:r>
          <w:r>
            <w:fldChar w:fldCharType="separate"/>
          </w:r>
          <w:r>
            <w:rPr>
              <w:color w:val="000000" w:themeColor="text1"/>
              <w:sz w:val="28"/>
              <w:szCs w:val="28"/>
              <w14:textFill>
                <w14:solidFill>
                  <w14:schemeClr w14:val="tx1"/>
                </w14:solidFill>
              </w14:textFill>
            </w:rPr>
            <w:t>1.5学生获奖情况</w:t>
          </w:r>
          <w:r>
            <w:rPr>
              <w:color w:val="000000" w:themeColor="text1"/>
              <w:sz w:val="28"/>
              <w:szCs w:val="28"/>
              <w14:textFill>
                <w14:solidFill>
                  <w14:schemeClr w14:val="tx1"/>
                </w14:solidFill>
              </w14:textFill>
            </w:rPr>
            <w:tab/>
          </w:r>
          <w:r>
            <w:rPr>
              <w:rFonts w:hint="eastAsia"/>
              <w:color w:val="000000" w:themeColor="text1"/>
              <w:sz w:val="28"/>
              <w:szCs w:val="28"/>
              <w:lang w:val="en-US" w:eastAsia="zh-CN"/>
              <w14:textFill>
                <w14:solidFill>
                  <w14:schemeClr w14:val="tx1"/>
                </w14:solidFill>
              </w14:textFill>
            </w:rPr>
            <w:t>1</w:t>
          </w:r>
          <w:r>
            <w:rPr>
              <w:color w:val="000000" w:themeColor="text1"/>
              <w:sz w:val="28"/>
              <w:szCs w:val="28"/>
              <w14:textFill>
                <w14:solidFill>
                  <w14:schemeClr w14:val="tx1"/>
                </w14:solidFill>
              </w14:textFill>
            </w:rPr>
            <w:fldChar w:fldCharType="end"/>
          </w:r>
          <w:r>
            <w:rPr>
              <w:rFonts w:hint="eastAsia"/>
              <w:color w:val="000000" w:themeColor="text1"/>
              <w:sz w:val="28"/>
              <w:szCs w:val="28"/>
              <w:lang w:val="en-US" w:eastAsia="zh-CN"/>
              <w14:textFill>
                <w14:solidFill>
                  <w14:schemeClr w14:val="tx1"/>
                </w14:solidFill>
              </w14:textFill>
            </w:rPr>
            <w:t>1</w:t>
          </w:r>
        </w:p>
        <w:p w14:paraId="205A1952">
          <w:pPr>
            <w:pStyle w:val="14"/>
            <w:tabs>
              <w:tab w:val="right" w:leader="dot" w:pos="8306"/>
            </w:tabs>
            <w:spacing w:line="500" w:lineRule="exact"/>
            <w:ind w:left="640"/>
            <w:rPr>
              <w:rFonts w:hint="default"/>
              <w:color w:val="000000" w:themeColor="text1"/>
              <w:sz w:val="28"/>
              <w:szCs w:val="28"/>
              <w14:textFill>
                <w14:solidFill>
                  <w14:schemeClr w14:val="tx1"/>
                </w14:solidFill>
              </w14:textFill>
            </w:rPr>
          </w:pPr>
          <w:r>
            <w:fldChar w:fldCharType="begin"/>
          </w:r>
          <w:r>
            <w:instrText xml:space="preserve"> HYPERLINK \l "_Toc18313" </w:instrText>
          </w:r>
          <w:r>
            <w:fldChar w:fldCharType="separate"/>
          </w:r>
          <w:r>
            <w:rPr>
              <w:color w:val="000000" w:themeColor="text1"/>
              <w:sz w:val="28"/>
              <w:szCs w:val="28"/>
              <w14:textFill>
                <w14:solidFill>
                  <w14:schemeClr w14:val="tx1"/>
                </w14:solidFill>
              </w14:textFill>
            </w:rPr>
            <w:t>2 服务贡献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_Toc18313 \h </w:instrText>
          </w:r>
          <w:r>
            <w:rPr>
              <w:color w:val="000000" w:themeColor="text1"/>
              <w:sz w:val="28"/>
              <w:szCs w:val="28"/>
              <w14:textFill>
                <w14:solidFill>
                  <w14:schemeClr w14:val="tx1"/>
                </w14:solidFill>
              </w14:textFill>
            </w:rPr>
            <w:fldChar w:fldCharType="separate"/>
          </w:r>
          <w:r>
            <w:rPr>
              <w:rFonts w:hint="default"/>
              <w:color w:val="000000" w:themeColor="text1"/>
              <w:sz w:val="28"/>
              <w:szCs w:val="28"/>
              <w14:textFill>
                <w14:solidFill>
                  <w14:schemeClr w14:val="tx1"/>
                </w14:solidFill>
              </w14:textFill>
            </w:rPr>
            <w:t>12</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14:paraId="55494FC0">
          <w:pPr>
            <w:pStyle w:val="8"/>
            <w:tabs>
              <w:tab w:val="right" w:leader="dot" w:pos="8306"/>
            </w:tabs>
            <w:spacing w:line="500" w:lineRule="exact"/>
            <w:ind w:left="1280"/>
            <w:rPr>
              <w:rFonts w:hint="eastAsia" w:eastAsia="仿宋_GB2312"/>
              <w:color w:val="000000" w:themeColor="text1"/>
              <w:sz w:val="28"/>
              <w:szCs w:val="28"/>
              <w:lang w:val="en-US" w:eastAsia="zh-CN"/>
              <w14:textFill>
                <w14:solidFill>
                  <w14:schemeClr w14:val="tx1"/>
                </w14:solidFill>
              </w14:textFill>
            </w:rPr>
          </w:pPr>
          <w:r>
            <w:fldChar w:fldCharType="begin"/>
          </w:r>
          <w:r>
            <w:instrText xml:space="preserve"> HYPERLINK \l "_Toc13921" </w:instrText>
          </w:r>
          <w:r>
            <w:fldChar w:fldCharType="separate"/>
          </w:r>
          <w:r>
            <w:rPr>
              <w:color w:val="000000" w:themeColor="text1"/>
              <w:sz w:val="28"/>
              <w:szCs w:val="28"/>
              <w14:textFill>
                <w14:solidFill>
                  <w14:schemeClr w14:val="tx1"/>
                </w14:solidFill>
              </w14:textFill>
            </w:rPr>
            <w:t>2.1服务地方发展</w:t>
          </w:r>
          <w:r>
            <w:rPr>
              <w:color w:val="000000" w:themeColor="text1"/>
              <w:sz w:val="28"/>
              <w:szCs w:val="28"/>
              <w14:textFill>
                <w14:solidFill>
                  <w14:schemeClr w14:val="tx1"/>
                </w14:solidFill>
              </w14:textFill>
            </w:rPr>
            <w:tab/>
          </w:r>
          <w:r>
            <w:rPr>
              <w:rFonts w:hint="eastAsia"/>
              <w:color w:val="000000" w:themeColor="text1"/>
              <w:sz w:val="28"/>
              <w:szCs w:val="28"/>
              <w:lang w:val="en-US" w:eastAsia="zh-CN"/>
              <w14:textFill>
                <w14:solidFill>
                  <w14:schemeClr w14:val="tx1"/>
                </w14:solidFill>
              </w14:textFill>
            </w:rPr>
            <w:t>1</w:t>
          </w:r>
          <w:r>
            <w:rPr>
              <w:color w:val="000000" w:themeColor="text1"/>
              <w:sz w:val="28"/>
              <w:szCs w:val="28"/>
              <w14:textFill>
                <w14:solidFill>
                  <w14:schemeClr w14:val="tx1"/>
                </w14:solidFill>
              </w14:textFill>
            </w:rPr>
            <w:fldChar w:fldCharType="end"/>
          </w:r>
          <w:r>
            <w:rPr>
              <w:rFonts w:hint="eastAsia"/>
              <w:color w:val="000000" w:themeColor="text1"/>
              <w:sz w:val="28"/>
              <w:szCs w:val="28"/>
              <w:lang w:val="en-US" w:eastAsia="zh-CN"/>
              <w14:textFill>
                <w14:solidFill>
                  <w14:schemeClr w14:val="tx1"/>
                </w14:solidFill>
              </w14:textFill>
            </w:rPr>
            <w:t>2</w:t>
          </w:r>
        </w:p>
        <w:p w14:paraId="7AA0C4F2">
          <w:pPr>
            <w:pStyle w:val="8"/>
            <w:tabs>
              <w:tab w:val="right" w:leader="dot" w:pos="8306"/>
            </w:tabs>
            <w:spacing w:line="500" w:lineRule="exact"/>
            <w:ind w:left="1280"/>
            <w:rPr>
              <w:rFonts w:hint="eastAsia" w:eastAsia="仿宋_GB2312"/>
              <w:color w:val="000000" w:themeColor="text1"/>
              <w:sz w:val="28"/>
              <w:szCs w:val="28"/>
              <w:lang w:val="en-US" w:eastAsia="zh-CN"/>
              <w14:textFill>
                <w14:solidFill>
                  <w14:schemeClr w14:val="tx1"/>
                </w14:solidFill>
              </w14:textFill>
            </w:rPr>
          </w:pPr>
          <w:r>
            <w:fldChar w:fldCharType="begin"/>
          </w:r>
          <w:r>
            <w:instrText xml:space="preserve"> HYPERLINK \l "_Toc16209" </w:instrText>
          </w:r>
          <w:r>
            <w:fldChar w:fldCharType="separate"/>
          </w:r>
          <w:r>
            <w:rPr>
              <w:color w:val="000000" w:themeColor="text1"/>
              <w:sz w:val="28"/>
              <w:szCs w:val="28"/>
              <w14:textFill>
                <w14:solidFill>
                  <w14:schemeClr w14:val="tx1"/>
                </w14:solidFill>
              </w14:textFill>
            </w:rPr>
            <w:t>2.2对口帮扶</w:t>
          </w:r>
          <w:r>
            <w:rPr>
              <w:color w:val="000000" w:themeColor="text1"/>
              <w:sz w:val="28"/>
              <w:szCs w:val="28"/>
              <w14:textFill>
                <w14:solidFill>
                  <w14:schemeClr w14:val="tx1"/>
                </w14:solidFill>
              </w14:textFill>
            </w:rPr>
            <w:tab/>
          </w:r>
          <w:r>
            <w:rPr>
              <w:rFonts w:hint="eastAsia"/>
              <w:color w:val="000000" w:themeColor="text1"/>
              <w:sz w:val="28"/>
              <w:szCs w:val="28"/>
              <w:lang w:val="en-US" w:eastAsia="zh-CN"/>
              <w14:textFill>
                <w14:solidFill>
                  <w14:schemeClr w14:val="tx1"/>
                </w14:solidFill>
              </w14:textFill>
            </w:rPr>
            <w:t>1</w:t>
          </w:r>
          <w:r>
            <w:rPr>
              <w:color w:val="000000" w:themeColor="text1"/>
              <w:sz w:val="28"/>
              <w:szCs w:val="28"/>
              <w14:textFill>
                <w14:solidFill>
                  <w14:schemeClr w14:val="tx1"/>
                </w14:solidFill>
              </w14:textFill>
            </w:rPr>
            <w:fldChar w:fldCharType="end"/>
          </w:r>
          <w:r>
            <w:rPr>
              <w:rFonts w:hint="eastAsia"/>
              <w:color w:val="000000" w:themeColor="text1"/>
              <w:sz w:val="28"/>
              <w:szCs w:val="28"/>
              <w:lang w:val="en-US" w:eastAsia="zh-CN"/>
              <w14:textFill>
                <w14:solidFill>
                  <w14:schemeClr w14:val="tx1"/>
                </w14:solidFill>
              </w14:textFill>
            </w:rPr>
            <w:t>4</w:t>
          </w:r>
        </w:p>
        <w:p w14:paraId="5F77B1C8">
          <w:pPr>
            <w:pStyle w:val="14"/>
            <w:tabs>
              <w:tab w:val="right" w:leader="dot" w:pos="8306"/>
            </w:tabs>
            <w:spacing w:line="500" w:lineRule="exact"/>
            <w:ind w:left="640"/>
            <w:rPr>
              <w:rFonts w:hint="eastAsia" w:eastAsia="仿宋_GB2312"/>
              <w:color w:val="000000" w:themeColor="text1"/>
              <w:sz w:val="28"/>
              <w:szCs w:val="28"/>
              <w:lang w:val="en-US" w:eastAsia="zh-CN"/>
              <w14:textFill>
                <w14:solidFill>
                  <w14:schemeClr w14:val="tx1"/>
                </w14:solidFill>
              </w14:textFill>
            </w:rPr>
          </w:pPr>
          <w:r>
            <w:fldChar w:fldCharType="begin"/>
          </w:r>
          <w:r>
            <w:instrText xml:space="preserve"> HYPERLINK \l "_Toc569" </w:instrText>
          </w:r>
          <w:r>
            <w:fldChar w:fldCharType="separate"/>
          </w:r>
          <w:r>
            <w:rPr>
              <w:color w:val="000000" w:themeColor="text1"/>
              <w:sz w:val="28"/>
              <w:szCs w:val="28"/>
              <w14:textFill>
                <w14:solidFill>
                  <w14:schemeClr w14:val="tx1"/>
                </w14:solidFill>
              </w14:textFill>
            </w:rPr>
            <w:t xml:space="preserve">3 文化传承 </w:t>
          </w:r>
          <w:r>
            <w:rPr>
              <w:color w:val="000000" w:themeColor="text1"/>
              <w:sz w:val="28"/>
              <w:szCs w:val="28"/>
              <w14:textFill>
                <w14:solidFill>
                  <w14:schemeClr w14:val="tx1"/>
                </w14:solidFill>
              </w14:textFill>
            </w:rPr>
            <w:tab/>
          </w:r>
          <w:r>
            <w:rPr>
              <w:rFonts w:hint="eastAsia"/>
              <w:color w:val="000000" w:themeColor="text1"/>
              <w:sz w:val="28"/>
              <w:szCs w:val="28"/>
              <w:lang w:val="en-US" w:eastAsia="zh-CN"/>
              <w14:textFill>
                <w14:solidFill>
                  <w14:schemeClr w14:val="tx1"/>
                </w14:solidFill>
              </w14:textFill>
            </w:rPr>
            <w:t>1</w:t>
          </w:r>
          <w:r>
            <w:rPr>
              <w:color w:val="000000" w:themeColor="text1"/>
              <w:sz w:val="28"/>
              <w:szCs w:val="28"/>
              <w14:textFill>
                <w14:solidFill>
                  <w14:schemeClr w14:val="tx1"/>
                </w14:solidFill>
              </w14:textFill>
            </w:rPr>
            <w:fldChar w:fldCharType="end"/>
          </w:r>
          <w:r>
            <w:rPr>
              <w:rFonts w:hint="eastAsia"/>
              <w:color w:val="000000" w:themeColor="text1"/>
              <w:sz w:val="28"/>
              <w:szCs w:val="28"/>
              <w:lang w:val="en-US" w:eastAsia="zh-CN"/>
              <w14:textFill>
                <w14:solidFill>
                  <w14:schemeClr w14:val="tx1"/>
                </w14:solidFill>
              </w14:textFill>
            </w:rPr>
            <w:t>6</w:t>
          </w:r>
        </w:p>
        <w:p w14:paraId="068D6A6A">
          <w:pPr>
            <w:pStyle w:val="8"/>
            <w:tabs>
              <w:tab w:val="right" w:leader="dot" w:pos="8306"/>
            </w:tabs>
            <w:spacing w:line="500" w:lineRule="exact"/>
            <w:ind w:left="1280"/>
            <w:rPr>
              <w:rFonts w:hint="default"/>
              <w:color w:val="000000" w:themeColor="text1"/>
              <w:sz w:val="28"/>
              <w:szCs w:val="28"/>
              <w14:textFill>
                <w14:solidFill>
                  <w14:schemeClr w14:val="tx1"/>
                </w14:solidFill>
              </w14:textFill>
            </w:rPr>
          </w:pPr>
          <w:r>
            <w:fldChar w:fldCharType="begin"/>
          </w:r>
          <w:r>
            <w:instrText xml:space="preserve"> HYPERLINK \l "_Toc6032" </w:instrText>
          </w:r>
          <w:r>
            <w:fldChar w:fldCharType="separate"/>
          </w:r>
          <w:r>
            <w:rPr>
              <w:color w:val="000000" w:themeColor="text1"/>
              <w:sz w:val="28"/>
              <w:szCs w:val="28"/>
              <w14:textFill>
                <w14:solidFill>
                  <w14:schemeClr w14:val="tx1"/>
                </w14:solidFill>
              </w14:textFill>
            </w:rPr>
            <w:t>3.1专业设置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16</w:t>
          </w:r>
          <w:r>
            <w:rPr>
              <w:color w:val="000000" w:themeColor="text1"/>
              <w:sz w:val="28"/>
              <w:szCs w:val="28"/>
              <w14:textFill>
                <w14:solidFill>
                  <w14:schemeClr w14:val="tx1"/>
                </w14:solidFill>
              </w14:textFill>
            </w:rPr>
            <w:fldChar w:fldCharType="end"/>
          </w:r>
        </w:p>
        <w:p w14:paraId="08E4DC87">
          <w:pPr>
            <w:pStyle w:val="8"/>
            <w:tabs>
              <w:tab w:val="right" w:leader="dot" w:pos="8306"/>
            </w:tabs>
            <w:spacing w:line="500" w:lineRule="exact"/>
            <w:ind w:left="1280"/>
            <w:rPr>
              <w:rFonts w:hint="default"/>
              <w:color w:val="000000" w:themeColor="text1"/>
              <w:sz w:val="28"/>
              <w:szCs w:val="28"/>
              <w14:textFill>
                <w14:solidFill>
                  <w14:schemeClr w14:val="tx1"/>
                </w14:solidFill>
              </w14:textFill>
            </w:rPr>
          </w:pPr>
          <w:r>
            <w:fldChar w:fldCharType="begin"/>
          </w:r>
          <w:r>
            <w:instrText xml:space="preserve"> HYPERLINK \l "_Toc6032" </w:instrText>
          </w:r>
          <w:r>
            <w:fldChar w:fldCharType="separate"/>
          </w:r>
          <w:r>
            <w:rPr>
              <w:color w:val="000000" w:themeColor="text1"/>
              <w:sz w:val="28"/>
              <w:szCs w:val="28"/>
              <w14:textFill>
                <w14:solidFill>
                  <w14:schemeClr w14:val="tx1"/>
                </w14:solidFill>
              </w14:textFill>
            </w:rPr>
            <w:t>3.2课程设置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17</w:t>
          </w:r>
          <w:r>
            <w:rPr>
              <w:color w:val="000000" w:themeColor="text1"/>
              <w:sz w:val="28"/>
              <w:szCs w:val="28"/>
              <w14:textFill>
                <w14:solidFill>
                  <w14:schemeClr w14:val="tx1"/>
                </w14:solidFill>
              </w14:textFill>
            </w:rPr>
            <w:fldChar w:fldCharType="end"/>
          </w:r>
        </w:p>
        <w:p w14:paraId="75B3A9B7">
          <w:pPr>
            <w:pStyle w:val="8"/>
            <w:tabs>
              <w:tab w:val="right" w:leader="dot" w:pos="8306"/>
            </w:tabs>
            <w:spacing w:line="500" w:lineRule="exact"/>
            <w:ind w:left="1280"/>
            <w:rPr>
              <w:rFonts w:hint="default"/>
              <w:color w:val="000000" w:themeColor="text1"/>
              <w:sz w:val="28"/>
              <w:szCs w:val="28"/>
              <w14:textFill>
                <w14:solidFill>
                  <w14:schemeClr w14:val="tx1"/>
                </w14:solidFill>
              </w14:textFill>
            </w:rPr>
          </w:pPr>
          <w:r>
            <w:fldChar w:fldCharType="begin"/>
          </w:r>
          <w:r>
            <w:instrText xml:space="preserve"> HYPERLINK \l "_Toc24601" </w:instrText>
          </w:r>
          <w:r>
            <w:fldChar w:fldCharType="separate"/>
          </w:r>
          <w:r>
            <w:rPr>
              <w:color w:val="000000" w:themeColor="text1"/>
              <w:sz w:val="28"/>
              <w:szCs w:val="28"/>
              <w14:textFill>
                <w14:solidFill>
                  <w14:schemeClr w14:val="tx1"/>
                </w14:solidFill>
              </w14:textFill>
            </w:rPr>
            <w:t>3.3课堂教学</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18</w:t>
          </w:r>
          <w:r>
            <w:rPr>
              <w:color w:val="000000" w:themeColor="text1"/>
              <w:sz w:val="28"/>
              <w:szCs w:val="28"/>
              <w14:textFill>
                <w14:solidFill>
                  <w14:schemeClr w14:val="tx1"/>
                </w14:solidFill>
              </w14:textFill>
            </w:rPr>
            <w:fldChar w:fldCharType="end"/>
          </w:r>
        </w:p>
        <w:p w14:paraId="33384007">
          <w:pPr>
            <w:pStyle w:val="8"/>
            <w:tabs>
              <w:tab w:val="right" w:leader="dot" w:pos="8306"/>
            </w:tabs>
            <w:spacing w:line="500" w:lineRule="exact"/>
            <w:ind w:left="1280"/>
            <w:rPr>
              <w:rFonts w:hint="default"/>
              <w:color w:val="000000" w:themeColor="text1"/>
              <w:sz w:val="28"/>
              <w:szCs w:val="28"/>
              <w14:textFill>
                <w14:solidFill>
                  <w14:schemeClr w14:val="tx1"/>
                </w14:solidFill>
              </w14:textFill>
            </w:rPr>
          </w:pPr>
          <w:r>
            <w:fldChar w:fldCharType="begin"/>
          </w:r>
          <w:r>
            <w:instrText xml:space="preserve"> HYPERLINK \l "_Toc24601" </w:instrText>
          </w:r>
          <w:r>
            <w:fldChar w:fldCharType="separate"/>
          </w:r>
          <w:r>
            <w:rPr>
              <w:color w:val="000000" w:themeColor="text1"/>
              <w:sz w:val="28"/>
              <w:szCs w:val="28"/>
              <w14:textFill>
                <w14:solidFill>
                  <w14:schemeClr w14:val="tx1"/>
                </w14:solidFill>
              </w14:textFill>
            </w:rPr>
            <w:t>3.4校园文化活动</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1</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t>9</w:t>
          </w:r>
        </w:p>
        <w:p w14:paraId="792D1BCD">
          <w:pPr>
            <w:pStyle w:val="14"/>
            <w:tabs>
              <w:tab w:val="right" w:leader="dot" w:pos="8306"/>
            </w:tabs>
            <w:spacing w:line="500" w:lineRule="exact"/>
            <w:ind w:left="640"/>
            <w:rPr>
              <w:rFonts w:hint="default"/>
              <w:color w:val="000000" w:themeColor="text1"/>
              <w:sz w:val="28"/>
              <w:szCs w:val="28"/>
              <w14:textFill>
                <w14:solidFill>
                  <w14:schemeClr w14:val="tx1"/>
                </w14:solidFill>
              </w14:textFill>
            </w:rPr>
          </w:pPr>
          <w:r>
            <w:fldChar w:fldCharType="begin"/>
          </w:r>
          <w:r>
            <w:instrText xml:space="preserve"> HYPERLINK \l "_Toc24329" </w:instrText>
          </w:r>
          <w:r>
            <w:fldChar w:fldCharType="separate"/>
          </w:r>
          <w:r>
            <w:rPr>
              <w:color w:val="000000" w:themeColor="text1"/>
              <w:sz w:val="28"/>
              <w:szCs w:val="28"/>
              <w14:textFill>
                <w14:solidFill>
                  <w14:schemeClr w14:val="tx1"/>
                </w14:solidFill>
              </w14:textFill>
            </w:rPr>
            <w:t>4 产教融合</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2</w:t>
          </w:r>
          <w:r>
            <w:rPr>
              <w:rFonts w:hint="eastAsia"/>
              <w:color w:val="000000" w:themeColor="text1"/>
              <w:sz w:val="28"/>
              <w:szCs w:val="28"/>
              <w:lang w:val="en-US" w:eastAsia="zh-CN"/>
              <w14:textFill>
                <w14:solidFill>
                  <w14:schemeClr w14:val="tx1"/>
                </w14:solidFill>
              </w14:textFill>
            </w:rPr>
            <w:t>2</w:t>
          </w:r>
          <w:r>
            <w:rPr>
              <w:color w:val="000000" w:themeColor="text1"/>
              <w:sz w:val="28"/>
              <w:szCs w:val="28"/>
              <w14:textFill>
                <w14:solidFill>
                  <w14:schemeClr w14:val="tx1"/>
                </w14:solidFill>
              </w14:textFill>
            </w:rPr>
            <w:fldChar w:fldCharType="end"/>
          </w:r>
        </w:p>
        <w:p w14:paraId="338C1B65">
          <w:pPr>
            <w:pStyle w:val="14"/>
            <w:tabs>
              <w:tab w:val="right" w:leader="dot" w:pos="8306"/>
            </w:tabs>
            <w:spacing w:line="500" w:lineRule="exact"/>
            <w:ind w:left="640"/>
            <w:rPr>
              <w:rFonts w:hint="default"/>
              <w:color w:val="000000" w:themeColor="text1"/>
              <w:sz w:val="28"/>
              <w:szCs w:val="28"/>
              <w14:textFill>
                <w14:solidFill>
                  <w14:schemeClr w14:val="tx1"/>
                </w14:solidFill>
              </w14:textFill>
            </w:rPr>
          </w:pPr>
          <w:r>
            <w:fldChar w:fldCharType="begin"/>
          </w:r>
          <w:r>
            <w:instrText xml:space="preserve"> HYPERLINK \l "_Toc24329" </w:instrText>
          </w:r>
          <w:r>
            <w:fldChar w:fldCharType="separate"/>
          </w:r>
          <w:r>
            <w:rPr>
              <w:color w:val="000000" w:themeColor="text1"/>
              <w:sz w:val="28"/>
              <w:szCs w:val="28"/>
              <w14:textFill>
                <w14:solidFill>
                  <w14:schemeClr w14:val="tx1"/>
                </w14:solidFill>
              </w14:textFill>
            </w:rPr>
            <w:t>5 发展保障</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2</w:t>
          </w:r>
          <w:r>
            <w:rPr>
              <w:rFonts w:hint="eastAsia"/>
              <w:color w:val="000000" w:themeColor="text1"/>
              <w:sz w:val="28"/>
              <w:szCs w:val="28"/>
              <w:lang w:val="en-US" w:eastAsia="zh-CN"/>
              <w14:textFill>
                <w14:solidFill>
                  <w14:schemeClr w14:val="tx1"/>
                </w14:solidFill>
              </w14:textFill>
            </w:rPr>
            <w:t>5</w:t>
          </w:r>
          <w:r>
            <w:rPr>
              <w:color w:val="000000" w:themeColor="text1"/>
              <w:sz w:val="28"/>
              <w:szCs w:val="28"/>
              <w14:textFill>
                <w14:solidFill>
                  <w14:schemeClr w14:val="tx1"/>
                </w14:solidFill>
              </w14:textFill>
            </w:rPr>
            <w:fldChar w:fldCharType="end"/>
          </w:r>
        </w:p>
        <w:p w14:paraId="2C90CE64">
          <w:pPr>
            <w:pStyle w:val="8"/>
            <w:tabs>
              <w:tab w:val="right" w:leader="dot" w:pos="8306"/>
            </w:tabs>
            <w:spacing w:line="500" w:lineRule="exact"/>
            <w:ind w:left="1280"/>
            <w:rPr>
              <w:rFonts w:hint="default"/>
              <w:color w:val="000000" w:themeColor="text1"/>
              <w:sz w:val="28"/>
              <w:szCs w:val="28"/>
              <w14:textFill>
                <w14:solidFill>
                  <w14:schemeClr w14:val="tx1"/>
                </w14:solidFill>
              </w14:textFill>
            </w:rPr>
          </w:pPr>
          <w:r>
            <w:fldChar w:fldCharType="begin"/>
          </w:r>
          <w:r>
            <w:instrText xml:space="preserve"> HYPERLINK \l "_Toc13530" </w:instrText>
          </w:r>
          <w:r>
            <w:fldChar w:fldCharType="separate"/>
          </w:r>
          <w:r>
            <w:rPr>
              <w:color w:val="000000" w:themeColor="text1"/>
              <w:sz w:val="28"/>
              <w:szCs w:val="28"/>
              <w14:textFill>
                <w14:solidFill>
                  <w14:schemeClr w14:val="tx1"/>
                </w14:solidFill>
              </w14:textFill>
            </w:rPr>
            <w:t>5.1国家政策落实</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2</w:t>
          </w:r>
          <w:r>
            <w:rPr>
              <w:rFonts w:hint="eastAsia"/>
              <w:color w:val="000000" w:themeColor="text1"/>
              <w:sz w:val="28"/>
              <w:szCs w:val="28"/>
              <w:lang w:val="en-US" w:eastAsia="zh-CN"/>
              <w14:textFill>
                <w14:solidFill>
                  <w14:schemeClr w14:val="tx1"/>
                </w14:solidFill>
              </w14:textFill>
            </w:rPr>
            <w:t>5</w:t>
          </w:r>
          <w:r>
            <w:rPr>
              <w:color w:val="000000" w:themeColor="text1"/>
              <w:sz w:val="28"/>
              <w:szCs w:val="28"/>
              <w14:textFill>
                <w14:solidFill>
                  <w14:schemeClr w14:val="tx1"/>
                </w14:solidFill>
              </w14:textFill>
            </w:rPr>
            <w:fldChar w:fldCharType="end"/>
          </w:r>
        </w:p>
        <w:p w14:paraId="56F46B44">
          <w:pPr>
            <w:pStyle w:val="8"/>
            <w:tabs>
              <w:tab w:val="right" w:leader="dot" w:pos="8306"/>
            </w:tabs>
            <w:spacing w:line="500" w:lineRule="exact"/>
            <w:ind w:left="1280"/>
            <w:rPr>
              <w:rFonts w:hint="default"/>
              <w:color w:val="000000" w:themeColor="text1"/>
              <w:sz w:val="28"/>
              <w:szCs w:val="28"/>
              <w14:textFill>
                <w14:solidFill>
                  <w14:schemeClr w14:val="tx1"/>
                </w14:solidFill>
              </w14:textFill>
            </w:rPr>
          </w:pPr>
          <w:r>
            <w:fldChar w:fldCharType="begin"/>
          </w:r>
          <w:r>
            <w:instrText xml:space="preserve"> HYPERLINK \l "_Toc31832" </w:instrText>
          </w:r>
          <w:r>
            <w:fldChar w:fldCharType="separate"/>
          </w:r>
          <w:r>
            <w:rPr>
              <w:color w:val="000000" w:themeColor="text1"/>
              <w:sz w:val="28"/>
              <w:szCs w:val="28"/>
              <w14:textFill>
                <w14:solidFill>
                  <w14:schemeClr w14:val="tx1"/>
                </w14:solidFill>
              </w14:textFill>
            </w:rPr>
            <w:t>5.2地方政策落实</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2</w:t>
          </w:r>
          <w:r>
            <w:rPr>
              <w:rFonts w:hint="eastAsia"/>
              <w:color w:val="000000" w:themeColor="text1"/>
              <w:sz w:val="28"/>
              <w:szCs w:val="28"/>
              <w:lang w:val="en-US" w:eastAsia="zh-CN"/>
              <w14:textFill>
                <w14:solidFill>
                  <w14:schemeClr w14:val="tx1"/>
                </w14:solidFill>
              </w14:textFill>
            </w:rPr>
            <w:t>5</w:t>
          </w:r>
          <w:r>
            <w:rPr>
              <w:color w:val="000000" w:themeColor="text1"/>
              <w:sz w:val="28"/>
              <w:szCs w:val="28"/>
              <w14:textFill>
                <w14:solidFill>
                  <w14:schemeClr w14:val="tx1"/>
                </w14:solidFill>
              </w14:textFill>
            </w:rPr>
            <w:fldChar w:fldCharType="end"/>
          </w:r>
        </w:p>
        <w:p w14:paraId="353F8F3B">
          <w:pPr>
            <w:pStyle w:val="8"/>
            <w:tabs>
              <w:tab w:val="right" w:leader="dot" w:pos="8306"/>
            </w:tabs>
            <w:spacing w:line="500" w:lineRule="exact"/>
            <w:ind w:left="1280"/>
            <w:rPr>
              <w:rFonts w:hint="default"/>
              <w:color w:val="000000" w:themeColor="text1"/>
              <w:sz w:val="28"/>
              <w:szCs w:val="28"/>
              <w14:textFill>
                <w14:solidFill>
                  <w14:schemeClr w14:val="tx1"/>
                </w14:solidFill>
              </w14:textFill>
            </w:rPr>
          </w:pPr>
          <w:r>
            <w:fldChar w:fldCharType="begin"/>
          </w:r>
          <w:r>
            <w:instrText xml:space="preserve"> HYPERLINK \l "_Toc28225" </w:instrText>
          </w:r>
          <w:r>
            <w:fldChar w:fldCharType="separate"/>
          </w:r>
          <w:r>
            <w:rPr>
              <w:color w:val="000000" w:themeColor="text1"/>
              <w:sz w:val="28"/>
              <w:szCs w:val="28"/>
              <w14:textFill>
                <w14:solidFill>
                  <w14:schemeClr w14:val="tx1"/>
                </w14:solidFill>
              </w14:textFill>
            </w:rPr>
            <w:t>5.3学校治理</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2</w:t>
          </w:r>
          <w:r>
            <w:rPr>
              <w:rFonts w:hint="eastAsia"/>
              <w:color w:val="000000" w:themeColor="text1"/>
              <w:sz w:val="28"/>
              <w:szCs w:val="28"/>
              <w:lang w:val="en-US" w:eastAsia="zh-CN"/>
              <w14:textFill>
                <w14:solidFill>
                  <w14:schemeClr w14:val="tx1"/>
                </w14:solidFill>
              </w14:textFill>
            </w:rPr>
            <w:t>5</w:t>
          </w:r>
          <w:r>
            <w:rPr>
              <w:color w:val="000000" w:themeColor="text1"/>
              <w:sz w:val="28"/>
              <w:szCs w:val="28"/>
              <w14:textFill>
                <w14:solidFill>
                  <w14:schemeClr w14:val="tx1"/>
                </w14:solidFill>
              </w14:textFill>
            </w:rPr>
            <w:fldChar w:fldCharType="end"/>
          </w:r>
        </w:p>
        <w:p w14:paraId="346E5E9C">
          <w:pPr>
            <w:pStyle w:val="8"/>
            <w:tabs>
              <w:tab w:val="right" w:leader="dot" w:pos="8306"/>
            </w:tabs>
            <w:spacing w:line="500" w:lineRule="exact"/>
            <w:ind w:left="1280"/>
            <w:rPr>
              <w:rFonts w:hint="eastAsia" w:eastAsia="仿宋_GB2312"/>
              <w:color w:val="000000" w:themeColor="text1"/>
              <w:sz w:val="28"/>
              <w:szCs w:val="28"/>
              <w:lang w:eastAsia="zh-CN"/>
              <w14:textFill>
                <w14:solidFill>
                  <w14:schemeClr w14:val="tx1"/>
                </w14:solidFill>
              </w14:textFill>
            </w:rPr>
          </w:pPr>
          <w:r>
            <w:fldChar w:fldCharType="begin"/>
          </w:r>
          <w:r>
            <w:instrText xml:space="preserve"> HYPERLINK \l "_Toc5579" </w:instrText>
          </w:r>
          <w:r>
            <w:fldChar w:fldCharType="separate"/>
          </w:r>
          <w:r>
            <w:rPr>
              <w:color w:val="000000" w:themeColor="text1"/>
              <w:sz w:val="28"/>
              <w:szCs w:val="28"/>
              <w14:textFill>
                <w14:solidFill>
                  <w14:schemeClr w14:val="tx1"/>
                </w14:solidFill>
              </w14:textFill>
            </w:rPr>
            <w:t>5.4质量保证体系建设</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2</w:t>
          </w:r>
          <w:r>
            <w:rPr>
              <w:color w:val="000000" w:themeColor="text1"/>
              <w:sz w:val="28"/>
              <w:szCs w:val="28"/>
              <w14:textFill>
                <w14:solidFill>
                  <w14:schemeClr w14:val="tx1"/>
                </w14:solidFill>
              </w14:textFill>
            </w:rPr>
            <w:fldChar w:fldCharType="end"/>
          </w:r>
          <w:r>
            <w:rPr>
              <w:rFonts w:hint="eastAsia"/>
              <w:color w:val="000000" w:themeColor="text1"/>
              <w:sz w:val="28"/>
              <w:szCs w:val="28"/>
              <w:lang w:val="en-US" w:eastAsia="zh-CN"/>
              <w14:textFill>
                <w14:solidFill>
                  <w14:schemeClr w14:val="tx1"/>
                </w14:solidFill>
              </w14:textFill>
            </w:rPr>
            <w:t>7</w:t>
          </w:r>
        </w:p>
        <w:p w14:paraId="651D3A50">
          <w:pPr>
            <w:pStyle w:val="8"/>
            <w:tabs>
              <w:tab w:val="right" w:leader="dot" w:pos="8306"/>
            </w:tabs>
            <w:spacing w:line="500" w:lineRule="exact"/>
            <w:ind w:left="1280"/>
            <w:rPr>
              <w:rFonts w:hint="default"/>
              <w:color w:val="000000" w:themeColor="text1"/>
              <w:sz w:val="28"/>
              <w:szCs w:val="28"/>
              <w14:textFill>
                <w14:solidFill>
                  <w14:schemeClr w14:val="tx1"/>
                </w14:solidFill>
              </w14:textFill>
            </w:rPr>
          </w:pPr>
          <w:r>
            <w:fldChar w:fldCharType="begin"/>
          </w:r>
          <w:r>
            <w:instrText xml:space="preserve"> HYPERLINK \l "_Toc25608" </w:instrText>
          </w:r>
          <w:r>
            <w:fldChar w:fldCharType="separate"/>
          </w:r>
          <w:r>
            <w:rPr>
              <w:color w:val="000000" w:themeColor="text1"/>
              <w:sz w:val="28"/>
              <w:szCs w:val="28"/>
              <w14:textFill>
                <w14:solidFill>
                  <w14:schemeClr w14:val="tx1"/>
                </w14:solidFill>
              </w14:textFill>
            </w:rPr>
            <w:t>5.5经费投入</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2</w:t>
          </w:r>
          <w:r>
            <w:rPr>
              <w:rFonts w:hint="eastAsia"/>
              <w:color w:val="000000" w:themeColor="text1"/>
              <w:sz w:val="28"/>
              <w:szCs w:val="28"/>
              <w:lang w:val="en-US" w:eastAsia="zh-CN"/>
              <w14:textFill>
                <w14:solidFill>
                  <w14:schemeClr w14:val="tx1"/>
                </w14:solidFill>
              </w14:textFill>
            </w:rPr>
            <w:t>8</w:t>
          </w:r>
          <w:r>
            <w:rPr>
              <w:color w:val="000000" w:themeColor="text1"/>
              <w:sz w:val="28"/>
              <w:szCs w:val="28"/>
              <w14:textFill>
                <w14:solidFill>
                  <w14:schemeClr w14:val="tx1"/>
                </w14:solidFill>
              </w14:textFill>
            </w:rPr>
            <w:fldChar w:fldCharType="end"/>
          </w:r>
        </w:p>
        <w:p w14:paraId="6EF7E6F6">
          <w:pPr>
            <w:pStyle w:val="14"/>
            <w:tabs>
              <w:tab w:val="right" w:leader="dot" w:pos="8306"/>
            </w:tabs>
            <w:spacing w:line="500" w:lineRule="exact"/>
            <w:ind w:left="640"/>
            <w:rPr>
              <w:rFonts w:hint="eastAsia" w:eastAsia="仿宋_GB2312"/>
              <w:color w:val="000000" w:themeColor="text1"/>
              <w:sz w:val="28"/>
              <w:szCs w:val="28"/>
              <w:lang w:eastAsia="zh-CN"/>
              <w14:textFill>
                <w14:solidFill>
                  <w14:schemeClr w14:val="tx1"/>
                </w14:solidFill>
              </w14:textFill>
            </w:rPr>
          </w:pPr>
          <w:r>
            <w:fldChar w:fldCharType="begin"/>
          </w:r>
          <w:r>
            <w:instrText xml:space="preserve"> HYPERLINK \l "_Toc13492" </w:instrText>
          </w:r>
          <w:r>
            <w:fldChar w:fldCharType="separate"/>
          </w:r>
          <w:r>
            <w:rPr>
              <w:color w:val="000000" w:themeColor="text1"/>
              <w:sz w:val="28"/>
              <w:szCs w:val="28"/>
              <w14:textFill>
                <w14:solidFill>
                  <w14:schemeClr w14:val="tx1"/>
                </w14:solidFill>
              </w14:textFill>
            </w:rPr>
            <w:t>6 面临挑战</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2</w:t>
          </w:r>
          <w:r>
            <w:rPr>
              <w:color w:val="000000" w:themeColor="text1"/>
              <w:sz w:val="28"/>
              <w:szCs w:val="28"/>
              <w14:textFill>
                <w14:solidFill>
                  <w14:schemeClr w14:val="tx1"/>
                </w14:solidFill>
              </w14:textFill>
            </w:rPr>
            <w:fldChar w:fldCharType="end"/>
          </w:r>
          <w:r>
            <w:rPr>
              <w:rFonts w:hint="eastAsia"/>
              <w:color w:val="000000" w:themeColor="text1"/>
              <w:sz w:val="28"/>
              <w:szCs w:val="28"/>
              <w:lang w:val="en-US" w:eastAsia="zh-CN"/>
              <w14:textFill>
                <w14:solidFill>
                  <w14:schemeClr w14:val="tx1"/>
                </w14:solidFill>
              </w14:textFill>
            </w:rPr>
            <w:t>8</w:t>
          </w:r>
        </w:p>
        <w:p w14:paraId="2ADB5BD1">
          <w:pPr>
            <w:tabs>
              <w:tab w:val="left" w:pos="958"/>
              <w:tab w:val="left" w:pos="1078"/>
            </w:tabs>
            <w:spacing w:line="500" w:lineRule="exact"/>
            <w:outlineLvl w:val="4"/>
            <w:rPr>
              <w:rFonts w:hint="default"/>
            </w:rPr>
          </w:pPr>
          <w:r>
            <w:rPr>
              <w:color w:val="000000" w:themeColor="text1"/>
              <w:sz w:val="28"/>
              <w:szCs w:val="28"/>
              <w14:textFill>
                <w14:solidFill>
                  <w14:schemeClr w14:val="tx1"/>
                </w14:solidFill>
              </w14:textFill>
            </w:rPr>
            <w:fldChar w:fldCharType="end"/>
          </w:r>
          <w:bookmarkStart w:id="0" w:name="_Toc30545"/>
          <w:bookmarkStart w:id="1" w:name="_Toc9666"/>
          <w:bookmarkStart w:id="2" w:name="_Toc31170"/>
          <w:r>
            <w:t xml:space="preserve"> </w:t>
          </w:r>
        </w:p>
        <w:p w14:paraId="13FEB8D6">
          <w:pPr>
            <w:pStyle w:val="9"/>
          </w:pPr>
        </w:p>
        <w:p w14:paraId="79CBFC58">
          <w:pPr>
            <w:pStyle w:val="9"/>
          </w:pPr>
        </w:p>
        <w:p w14:paraId="28EA5C32">
          <w:pPr>
            <w:pStyle w:val="9"/>
          </w:pPr>
        </w:p>
        <w:p w14:paraId="43FED052">
          <w:pPr>
            <w:pStyle w:val="9"/>
          </w:pPr>
        </w:p>
        <w:p w14:paraId="461C9082">
          <w:pPr>
            <w:pStyle w:val="3"/>
            <w:keepNext w:val="0"/>
            <w:keepLines w:val="0"/>
            <w:rPr>
              <w:rFonts w:hint="default"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表目录</w:t>
          </w:r>
        </w:p>
        <w:p w14:paraId="4BC8CACC">
          <w:pPr>
            <w:pStyle w:val="13"/>
            <w:spacing w:line="500" w:lineRule="exact"/>
            <w:ind w:left="1200" w:hanging="560"/>
            <w:rPr>
              <w:rFonts w:hint="default" w:ascii="仿宋_GB2312" w:hAnsi="仿宋_GB2312" w:cs="仿宋_GB2312"/>
              <w:color w:val="000000" w:themeColor="text1"/>
              <w:sz w:val="28"/>
              <w:szCs w:val="28"/>
              <w14:textFill>
                <w14:solidFill>
                  <w14:schemeClr w14:val="tx1"/>
                </w14:solidFill>
              </w14:textFill>
            </w:rPr>
          </w:pPr>
          <w:r>
            <w:rPr>
              <w:rFonts w:ascii="仿宋_GB2312" w:hAnsi="仿宋_GB2312" w:cs="仿宋_GB2312"/>
              <w:color w:val="000000" w:themeColor="text1"/>
              <w:sz w:val="28"/>
              <w:szCs w:val="28"/>
              <w14:textFill>
                <w14:solidFill>
                  <w14:schemeClr w14:val="tx1"/>
                </w14:solidFill>
              </w14:textFill>
            </w:rPr>
            <w:fldChar w:fldCharType="begin"/>
          </w:r>
          <w:r>
            <w:rPr>
              <w:rFonts w:ascii="仿宋_GB2312" w:hAnsi="仿宋_GB2312" w:cs="仿宋_GB2312"/>
              <w:color w:val="000000" w:themeColor="text1"/>
              <w:sz w:val="28"/>
              <w:szCs w:val="28"/>
              <w14:textFill>
                <w14:solidFill>
                  <w14:schemeClr w14:val="tx1"/>
                </w14:solidFill>
              </w14:textFill>
            </w:rPr>
            <w:instrText xml:space="preserve">TOC \p " " \h \c "表"</w:instrText>
          </w:r>
          <w:r>
            <w:rPr>
              <w:rFonts w:ascii="仿宋_GB2312" w:hAnsi="仿宋_GB2312" w:cs="仿宋_GB2312"/>
              <w:color w:val="000000" w:themeColor="text1"/>
              <w:sz w:val="28"/>
              <w:szCs w:val="28"/>
              <w14:textFill>
                <w14:solidFill>
                  <w14:schemeClr w14:val="tx1"/>
                </w14:solidFill>
              </w14:textFill>
            </w:rPr>
            <w:fldChar w:fldCharType="separate"/>
          </w:r>
          <w:r>
            <w:fldChar w:fldCharType="begin"/>
          </w:r>
          <w:r>
            <w:instrText xml:space="preserve"> HYPERLINK \l "_Toc13079" </w:instrText>
          </w:r>
          <w:r>
            <w:fldChar w:fldCharType="separate"/>
          </w:r>
          <w:r>
            <w:rPr>
              <w:rFonts w:ascii="仿宋_GB2312" w:hAnsi="仿宋_GB2312" w:cs="仿宋_GB2312"/>
              <w:color w:val="000000" w:themeColor="text1"/>
              <w:sz w:val="28"/>
              <w:szCs w:val="28"/>
              <w14:textFill>
                <w14:solidFill>
                  <w14:schemeClr w14:val="tx1"/>
                </w14:solidFill>
              </w14:textFill>
            </w:rPr>
            <w:t xml:space="preserve">表 1  学生就业数据一览表 </w:t>
          </w:r>
          <w:r>
            <w:rPr>
              <w:rFonts w:hint="eastAsia" w:ascii="仿宋_GB2312" w:hAnsi="仿宋_GB2312" w:cs="仿宋_GB2312"/>
              <w:color w:val="000000" w:themeColor="text1"/>
              <w:sz w:val="28"/>
              <w:szCs w:val="28"/>
              <w:lang w:val="en-US" w:eastAsia="zh-CN"/>
              <w14:textFill>
                <w14:solidFill>
                  <w14:schemeClr w14:val="tx1"/>
                </w14:solidFill>
              </w14:textFill>
            </w:rPr>
            <w:t>9</w:t>
          </w:r>
          <w:r>
            <w:rPr>
              <w:rFonts w:ascii="仿宋_GB2312" w:hAnsi="仿宋_GB2312" w:cs="仿宋_GB2312"/>
              <w:color w:val="000000" w:themeColor="text1"/>
              <w:sz w:val="28"/>
              <w:szCs w:val="28"/>
              <w14:textFill>
                <w14:solidFill>
                  <w14:schemeClr w14:val="tx1"/>
                </w14:solidFill>
              </w14:textFill>
            </w:rPr>
            <w:fldChar w:fldCharType="end"/>
          </w:r>
        </w:p>
        <w:p w14:paraId="1460A912">
          <w:pPr>
            <w:pStyle w:val="13"/>
            <w:spacing w:line="500" w:lineRule="exact"/>
            <w:ind w:left="1280" w:hanging="640"/>
            <w:rPr>
              <w:rFonts w:hint="default" w:ascii="仿宋_GB2312" w:hAnsi="仿宋_GB2312" w:cs="仿宋_GB2312"/>
              <w:color w:val="000000" w:themeColor="text1"/>
              <w:sz w:val="28"/>
              <w:szCs w:val="28"/>
              <w14:textFill>
                <w14:solidFill>
                  <w14:schemeClr w14:val="tx1"/>
                </w14:solidFill>
              </w14:textFill>
            </w:rPr>
          </w:pPr>
          <w:r>
            <w:fldChar w:fldCharType="begin"/>
          </w:r>
          <w:r>
            <w:instrText xml:space="preserve"> HYPERLINK \l "_Toc31587" </w:instrText>
          </w:r>
          <w:r>
            <w:fldChar w:fldCharType="separate"/>
          </w:r>
          <w:r>
            <w:rPr>
              <w:rFonts w:ascii="仿宋_GB2312" w:hAnsi="仿宋_GB2312" w:cs="仿宋_GB2312"/>
              <w:color w:val="000000" w:themeColor="text1"/>
              <w:sz w:val="28"/>
              <w:szCs w:val="28"/>
              <w14:textFill>
                <w14:solidFill>
                  <w14:schemeClr w14:val="tx1"/>
                </w14:solidFill>
              </w14:textFill>
            </w:rPr>
            <w:t>表 2  202</w:t>
          </w:r>
          <w:r>
            <w:rPr>
              <w:rFonts w:hint="eastAsia" w:ascii="仿宋_GB2312" w:hAnsi="仿宋_GB2312" w:cs="仿宋_GB2312"/>
              <w:color w:val="000000" w:themeColor="text1"/>
              <w:sz w:val="28"/>
              <w:szCs w:val="28"/>
              <w:lang w:val="en-US" w:eastAsia="zh-CN"/>
              <w14:textFill>
                <w14:solidFill>
                  <w14:schemeClr w14:val="tx1"/>
                </w14:solidFill>
              </w14:textFill>
            </w:rPr>
            <w:t>4</w:t>
          </w:r>
          <w:r>
            <w:rPr>
              <w:rFonts w:ascii="仿宋_GB2312" w:hAnsi="仿宋_GB2312" w:cs="仿宋_GB2312"/>
              <w:color w:val="000000" w:themeColor="text1"/>
              <w:sz w:val="28"/>
              <w:szCs w:val="28"/>
              <w14:textFill>
                <w14:solidFill>
                  <w14:schemeClr w14:val="tx1"/>
                </w14:solidFill>
              </w14:textFill>
            </w:rPr>
            <w:t>届毕业生升学（本科）统计表</w:t>
          </w:r>
          <w:r>
            <w:rPr>
              <w:rFonts w:hint="eastAsia" w:ascii="仿宋_GB2312" w:hAnsi="仿宋_GB2312" w:cs="仿宋_GB2312"/>
              <w:color w:val="000000" w:themeColor="text1"/>
              <w:sz w:val="28"/>
              <w:szCs w:val="28"/>
              <w:lang w:val="en-US" w:eastAsia="zh-CN"/>
              <w14:textFill>
                <w14:solidFill>
                  <w14:schemeClr w14:val="tx1"/>
                </w14:solidFill>
              </w14:textFill>
            </w:rPr>
            <w:t>9</w:t>
          </w:r>
          <w:r>
            <w:rPr>
              <w:rFonts w:ascii="仿宋_GB2312" w:hAnsi="仿宋_GB2312" w:cs="仿宋_GB2312"/>
              <w:color w:val="000000" w:themeColor="text1"/>
              <w:sz w:val="28"/>
              <w:szCs w:val="28"/>
              <w14:textFill>
                <w14:solidFill>
                  <w14:schemeClr w14:val="tx1"/>
                </w14:solidFill>
              </w14:textFill>
            </w:rPr>
            <w:fldChar w:fldCharType="end"/>
          </w:r>
        </w:p>
        <w:p w14:paraId="30633A71">
          <w:pPr>
            <w:pStyle w:val="13"/>
            <w:spacing w:line="500" w:lineRule="exact"/>
            <w:ind w:left="1280" w:hanging="640"/>
            <w:rPr>
              <w:rFonts w:hint="default" w:ascii="仿宋_GB2312" w:hAnsi="仿宋_GB2312" w:cs="仿宋_GB2312"/>
              <w:color w:val="000000" w:themeColor="text1"/>
              <w:sz w:val="28"/>
              <w:szCs w:val="28"/>
              <w14:textFill>
                <w14:solidFill>
                  <w14:schemeClr w14:val="tx1"/>
                </w14:solidFill>
              </w14:textFill>
            </w:rPr>
          </w:pPr>
          <w:r>
            <w:fldChar w:fldCharType="begin"/>
          </w:r>
          <w:r>
            <w:instrText xml:space="preserve"> HYPERLINK \l "_Toc25083" </w:instrText>
          </w:r>
          <w:r>
            <w:fldChar w:fldCharType="separate"/>
          </w:r>
          <w:r>
            <w:rPr>
              <w:rFonts w:ascii="仿宋_GB2312" w:hAnsi="仿宋_GB2312" w:cs="仿宋_GB2312"/>
              <w:color w:val="000000" w:themeColor="text1"/>
              <w:sz w:val="28"/>
              <w:szCs w:val="28"/>
              <w14:textFill>
                <w14:solidFill>
                  <w14:schemeClr w14:val="tx1"/>
                </w14:solidFill>
              </w14:textFill>
            </w:rPr>
            <w:t>表 3  202</w:t>
          </w:r>
          <w:r>
            <w:rPr>
              <w:rFonts w:hint="eastAsia" w:ascii="仿宋_GB2312" w:hAnsi="仿宋_GB2312" w:cs="仿宋_GB2312"/>
              <w:color w:val="000000" w:themeColor="text1"/>
              <w:sz w:val="28"/>
              <w:szCs w:val="28"/>
              <w:lang w:val="en-US" w:eastAsia="zh-CN"/>
              <w14:textFill>
                <w14:solidFill>
                  <w14:schemeClr w14:val="tx1"/>
                </w14:solidFill>
              </w14:textFill>
            </w:rPr>
            <w:t>4</w:t>
          </w:r>
          <w:r>
            <w:rPr>
              <w:rFonts w:ascii="仿宋_GB2312" w:hAnsi="仿宋_GB2312" w:cs="仿宋_GB2312"/>
              <w:color w:val="000000" w:themeColor="text1"/>
              <w:sz w:val="28"/>
              <w:szCs w:val="28"/>
              <w14:textFill>
                <w14:solidFill>
                  <w14:schemeClr w14:val="tx1"/>
                </w14:solidFill>
              </w14:textFill>
            </w:rPr>
            <w:t>届毕业生升学（专科）统计表  1</w:t>
          </w:r>
          <w:r>
            <w:rPr>
              <w:rFonts w:hint="eastAsia" w:ascii="仿宋_GB2312" w:hAnsi="仿宋_GB2312" w:cs="仿宋_GB2312"/>
              <w:color w:val="000000" w:themeColor="text1"/>
              <w:sz w:val="28"/>
              <w:szCs w:val="28"/>
              <w:lang w:val="en-US" w:eastAsia="zh-CN"/>
              <w14:textFill>
                <w14:solidFill>
                  <w14:schemeClr w14:val="tx1"/>
                </w14:solidFill>
              </w14:textFill>
            </w:rPr>
            <w:t>0</w:t>
          </w:r>
          <w:r>
            <w:rPr>
              <w:rFonts w:ascii="仿宋_GB2312" w:hAnsi="仿宋_GB2312" w:cs="仿宋_GB2312"/>
              <w:color w:val="000000" w:themeColor="text1"/>
              <w:sz w:val="28"/>
              <w:szCs w:val="28"/>
              <w14:textFill>
                <w14:solidFill>
                  <w14:schemeClr w14:val="tx1"/>
                </w14:solidFill>
              </w14:textFill>
            </w:rPr>
            <w:fldChar w:fldCharType="end"/>
          </w:r>
        </w:p>
        <w:p w14:paraId="6134EE47">
          <w:pPr>
            <w:spacing w:line="500" w:lineRule="exact"/>
            <w:rPr>
              <w:rFonts w:hint="default" w:ascii="仿宋_GB2312" w:hAnsi="仿宋_GB2312" w:cs="仿宋_GB2312"/>
              <w:color w:val="000000" w:themeColor="text1"/>
              <w:sz w:val="28"/>
              <w:szCs w:val="28"/>
              <w14:textFill>
                <w14:solidFill>
                  <w14:schemeClr w14:val="tx1"/>
                </w14:solidFill>
              </w14:textFill>
            </w:rPr>
          </w:pPr>
          <w:r>
            <w:rPr>
              <w:rFonts w:ascii="仿宋_GB2312" w:hAnsi="仿宋_GB2312" w:cs="仿宋_GB2312"/>
              <w:color w:val="000000" w:themeColor="text1"/>
              <w:sz w:val="28"/>
              <w:szCs w:val="28"/>
              <w14:textFill>
                <w14:solidFill>
                  <w14:schemeClr w14:val="tx1"/>
                </w14:solidFill>
              </w14:textFill>
            </w:rPr>
            <w:fldChar w:fldCharType="end"/>
          </w:r>
          <w:r>
            <w:rPr>
              <w:rFonts w:ascii="仿宋_GB2312" w:hAnsi="仿宋_GB2312" w:cs="仿宋_GB2312"/>
              <w:color w:val="000000" w:themeColor="text1"/>
              <w:sz w:val="28"/>
              <w:szCs w:val="28"/>
              <w14:textFill>
                <w14:solidFill>
                  <w14:schemeClr w14:val="tx1"/>
                </w14:solidFill>
              </w14:textFill>
            </w:rPr>
            <w:t>图目录</w:t>
          </w:r>
        </w:p>
        <w:p w14:paraId="09F9B0F4">
          <w:pPr>
            <w:pStyle w:val="13"/>
            <w:spacing w:line="500" w:lineRule="exact"/>
            <w:ind w:left="1200" w:hanging="560"/>
            <w:rPr>
              <w:rFonts w:hint="default" w:ascii="仿宋_GB2312" w:hAnsi="仿宋_GB2312" w:cs="仿宋_GB2312"/>
              <w:color w:val="000000" w:themeColor="text1"/>
              <w:sz w:val="28"/>
              <w:szCs w:val="28"/>
              <w14:textFill>
                <w14:solidFill>
                  <w14:schemeClr w14:val="tx1"/>
                </w14:solidFill>
              </w14:textFill>
            </w:rPr>
          </w:pPr>
          <w:r>
            <w:rPr>
              <w:rFonts w:ascii="仿宋_GB2312" w:hAnsi="仿宋_GB2312" w:cs="仿宋_GB2312"/>
              <w:color w:val="000000" w:themeColor="text1"/>
              <w:sz w:val="28"/>
              <w:szCs w:val="28"/>
              <w14:textFill>
                <w14:solidFill>
                  <w14:schemeClr w14:val="tx1"/>
                </w14:solidFill>
              </w14:textFill>
            </w:rPr>
            <w:fldChar w:fldCharType="begin"/>
          </w:r>
          <w:r>
            <w:rPr>
              <w:rFonts w:ascii="仿宋_GB2312" w:hAnsi="仿宋_GB2312" w:cs="仿宋_GB2312"/>
              <w:color w:val="000000" w:themeColor="text1"/>
              <w:sz w:val="28"/>
              <w:szCs w:val="28"/>
              <w14:textFill>
                <w14:solidFill>
                  <w14:schemeClr w14:val="tx1"/>
                </w14:solidFill>
              </w14:textFill>
            </w:rPr>
            <w:instrText xml:space="preserve">TOC \p " " \h \c "图"</w:instrText>
          </w:r>
          <w:r>
            <w:rPr>
              <w:rFonts w:ascii="仿宋_GB2312" w:hAnsi="仿宋_GB2312" w:cs="仿宋_GB2312"/>
              <w:color w:val="000000" w:themeColor="text1"/>
              <w:sz w:val="28"/>
              <w:szCs w:val="28"/>
              <w14:textFill>
                <w14:solidFill>
                  <w14:schemeClr w14:val="tx1"/>
                </w14:solidFill>
              </w14:textFill>
            </w:rPr>
            <w:fldChar w:fldCharType="separate"/>
          </w:r>
          <w:r>
            <w:fldChar w:fldCharType="begin"/>
          </w:r>
          <w:r>
            <w:instrText xml:space="preserve"> HYPERLINK \l "_Toc7233" </w:instrText>
          </w:r>
          <w:r>
            <w:fldChar w:fldCharType="separate"/>
          </w:r>
          <w:r>
            <w:rPr>
              <w:rFonts w:ascii="仿宋_GB2312" w:hAnsi="仿宋_GB2312" w:cs="仿宋_GB2312"/>
              <w:color w:val="000000" w:themeColor="text1"/>
              <w:sz w:val="28"/>
              <w:szCs w:val="28"/>
              <w14:textFill>
                <w14:solidFill>
                  <w14:schemeClr w14:val="tx1"/>
                </w14:solidFill>
              </w14:textFill>
            </w:rPr>
            <w:t xml:space="preserve">图 1  </w:t>
          </w:r>
          <w:r>
            <w:rPr>
              <w:rFonts w:hint="eastAsia" w:ascii="仿宋_GB2312" w:hAnsi="仿宋_GB2312" w:cs="仿宋_GB2312"/>
              <w:color w:val="000000" w:themeColor="text1"/>
              <w:sz w:val="28"/>
              <w:szCs w:val="28"/>
              <w:lang w:eastAsia="zh-CN"/>
              <w14:textFill>
                <w14:solidFill>
                  <w14:schemeClr w14:val="tx1"/>
                </w14:solidFill>
              </w14:textFill>
            </w:rPr>
            <w:t>我</w:t>
          </w:r>
          <w:r>
            <w:rPr>
              <w:rFonts w:hint="eastAsia" w:ascii="仿宋_GB2312" w:hAnsi="仿宋_GB2312" w:cs="仿宋_GB2312"/>
              <w:color w:val="000000" w:themeColor="text1"/>
              <w:sz w:val="28"/>
              <w:szCs w:val="28"/>
              <w14:textFill>
                <w14:solidFill>
                  <w14:schemeClr w14:val="tx1"/>
                </w14:solidFill>
              </w14:textFill>
            </w:rPr>
            <w:t>校</w:t>
          </w:r>
          <w:r>
            <w:rPr>
              <w:rFonts w:hint="eastAsia" w:ascii="仿宋_GB2312" w:hAnsi="仿宋_GB2312" w:cs="仿宋_GB2312"/>
              <w:color w:val="000000" w:themeColor="text1"/>
              <w:sz w:val="28"/>
              <w:szCs w:val="28"/>
              <w:lang w:eastAsia="zh-CN"/>
              <w14:textFill>
                <w14:solidFill>
                  <w14:schemeClr w14:val="tx1"/>
                </w14:solidFill>
              </w14:textFill>
            </w:rPr>
            <w:t>青年团员</w:t>
          </w:r>
          <w:r>
            <w:rPr>
              <w:rFonts w:hint="eastAsia" w:ascii="仿宋_GB2312" w:hAnsi="仿宋_GB2312" w:cs="仿宋_GB2312"/>
              <w:color w:val="000000" w:themeColor="text1"/>
              <w:sz w:val="28"/>
              <w:szCs w:val="28"/>
              <w14:textFill>
                <w14:solidFill>
                  <w14:schemeClr w14:val="tx1"/>
                </w14:solidFill>
              </w14:textFill>
            </w:rPr>
            <w:t>赴福州市第二福利院开展“学雷锋”志愿服务活动</w:t>
          </w:r>
          <w:r>
            <w:rPr>
              <w:rFonts w:ascii="仿宋_GB2312" w:hAnsi="仿宋_GB2312" w:cs="仿宋_GB2312"/>
              <w:color w:val="000000" w:themeColor="text1"/>
              <w:sz w:val="28"/>
              <w:szCs w:val="28"/>
              <w14:textFill>
                <w14:solidFill>
                  <w14:schemeClr w14:val="tx1"/>
                </w14:solidFill>
              </w14:textFill>
            </w:rPr>
            <w:t>6</w:t>
          </w:r>
          <w:r>
            <w:rPr>
              <w:rFonts w:ascii="仿宋_GB2312" w:hAnsi="仿宋_GB2312" w:cs="仿宋_GB2312"/>
              <w:color w:val="000000" w:themeColor="text1"/>
              <w:sz w:val="28"/>
              <w:szCs w:val="28"/>
              <w14:textFill>
                <w14:solidFill>
                  <w14:schemeClr w14:val="tx1"/>
                </w14:solidFill>
              </w14:textFill>
            </w:rPr>
            <w:fldChar w:fldCharType="end"/>
          </w:r>
        </w:p>
        <w:p w14:paraId="1C6DB875">
          <w:pPr>
            <w:pStyle w:val="13"/>
            <w:spacing w:line="500" w:lineRule="exact"/>
            <w:ind w:left="1280" w:hanging="640"/>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fldChar w:fldCharType="begin"/>
          </w:r>
          <w:r>
            <w:instrText xml:space="preserve"> HYPERLINK \l "_Toc27720" </w:instrText>
          </w:r>
          <w:r>
            <w:fldChar w:fldCharType="separate"/>
          </w:r>
          <w:r>
            <w:rPr>
              <w:rFonts w:ascii="仿宋_GB2312" w:hAnsi="仿宋_GB2312" w:cs="仿宋_GB2312"/>
              <w:color w:val="000000" w:themeColor="text1"/>
              <w:sz w:val="28"/>
              <w:szCs w:val="28"/>
              <w14:textFill>
                <w14:solidFill>
                  <w14:schemeClr w14:val="tx1"/>
                </w14:solidFill>
              </w14:textFill>
            </w:rPr>
            <w:t>图 2  篮球队下基层学校选拔优秀苗子</w:t>
          </w:r>
          <w:r>
            <w:rPr>
              <w:rFonts w:hint="eastAsia" w:ascii="仿宋_GB2312" w:hAnsi="仿宋_GB2312" w:cs="仿宋_GB2312"/>
              <w:color w:val="000000" w:themeColor="text1"/>
              <w:sz w:val="28"/>
              <w:szCs w:val="28"/>
              <w:lang w:val="en-US" w:eastAsia="zh-CN"/>
              <w14:textFill>
                <w14:solidFill>
                  <w14:schemeClr w14:val="tx1"/>
                </w14:solidFill>
              </w14:textFill>
            </w:rPr>
            <w:t>1</w:t>
          </w:r>
          <w:r>
            <w:rPr>
              <w:rFonts w:ascii="仿宋_GB2312" w:hAnsi="仿宋_GB2312" w:cs="仿宋_GB2312"/>
              <w:color w:val="000000" w:themeColor="text1"/>
              <w:sz w:val="28"/>
              <w:szCs w:val="28"/>
              <w14:textFill>
                <w14:solidFill>
                  <w14:schemeClr w14:val="tx1"/>
                </w14:solidFill>
              </w14:textFill>
            </w:rPr>
            <w:fldChar w:fldCharType="end"/>
          </w:r>
          <w:r>
            <w:rPr>
              <w:rFonts w:hint="eastAsia" w:ascii="仿宋_GB2312" w:hAnsi="仿宋_GB2312" w:cs="仿宋_GB2312"/>
              <w:color w:val="000000" w:themeColor="text1"/>
              <w:sz w:val="28"/>
              <w:szCs w:val="28"/>
              <w:lang w:val="en-US" w:eastAsia="zh-CN"/>
              <w14:textFill>
                <w14:solidFill>
                  <w14:schemeClr w14:val="tx1"/>
                </w14:solidFill>
              </w14:textFill>
            </w:rPr>
            <w:t>4</w:t>
          </w:r>
        </w:p>
        <w:p w14:paraId="256D9CF6">
          <w:pPr>
            <w:pStyle w:val="13"/>
            <w:spacing w:line="500" w:lineRule="exact"/>
            <w:ind w:left="1280" w:hanging="640"/>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fldChar w:fldCharType="begin"/>
          </w:r>
          <w:r>
            <w:instrText xml:space="preserve"> HYPERLINK \l "_Toc25885" </w:instrText>
          </w:r>
          <w:r>
            <w:fldChar w:fldCharType="separate"/>
          </w:r>
          <w:r>
            <w:rPr>
              <w:rFonts w:ascii="仿宋_GB2312" w:hAnsi="仿宋_GB2312" w:cs="仿宋_GB2312"/>
              <w:color w:val="000000" w:themeColor="text1"/>
              <w:sz w:val="28"/>
              <w:szCs w:val="28"/>
              <w14:textFill>
                <w14:solidFill>
                  <w14:schemeClr w14:val="tx1"/>
                </w14:solidFill>
              </w14:textFill>
            </w:rPr>
            <w:t>图</w:t>
          </w:r>
          <w:r>
            <w:rPr>
              <w:rFonts w:hint="eastAsia" w:ascii="仿宋_GB2312" w:hAnsi="仿宋_GB2312" w:cs="仿宋_GB2312"/>
              <w:color w:val="000000" w:themeColor="text1"/>
              <w:sz w:val="28"/>
              <w:szCs w:val="28"/>
              <w:lang w:val="en-US" w:eastAsia="zh-CN"/>
              <w14:textFill>
                <w14:solidFill>
                  <w14:schemeClr w14:val="tx1"/>
                </w14:solidFill>
              </w14:textFill>
            </w:rPr>
            <w:t xml:space="preserve"> 3</w:t>
          </w:r>
          <w:r>
            <w:rPr>
              <w:rFonts w:ascii="仿宋_GB2312" w:hAnsi="仿宋_GB2312" w:cs="仿宋_GB2312"/>
              <w:color w:val="000000" w:themeColor="text1"/>
              <w:sz w:val="28"/>
              <w:szCs w:val="28"/>
              <w14:textFill>
                <w14:solidFill>
                  <w14:schemeClr w14:val="tx1"/>
                </w14:solidFill>
              </w14:textFill>
            </w:rPr>
            <w:t xml:space="preserve">  </w:t>
          </w:r>
          <w:r>
            <w:rPr>
              <w:rFonts w:hint="eastAsia" w:ascii="仿宋_GB2312" w:hAnsi="仿宋_GB2312" w:cs="仿宋_GB2312"/>
              <w:color w:val="000000" w:themeColor="text1"/>
              <w:sz w:val="28"/>
              <w:szCs w:val="28"/>
              <w:lang w:val="zh-CN"/>
              <w14:textFill>
                <w14:solidFill>
                  <w14:schemeClr w14:val="tx1"/>
                </w14:solidFill>
              </w14:textFill>
            </w:rPr>
            <w:t>摔跤队定期去马尾体校训练，提高基层训练技术水平</w:t>
          </w:r>
          <w:r>
            <w:rPr>
              <w:rFonts w:ascii="仿宋_GB2312" w:hAnsi="仿宋_GB2312" w:cs="仿宋_GB2312"/>
              <w:color w:val="000000" w:themeColor="text1"/>
              <w:sz w:val="28"/>
              <w:szCs w:val="28"/>
              <w14:textFill>
                <w14:solidFill>
                  <w14:schemeClr w14:val="tx1"/>
                </w14:solidFill>
              </w14:textFill>
            </w:rPr>
            <w:fldChar w:fldCharType="end"/>
          </w:r>
          <w:r>
            <w:rPr>
              <w:rFonts w:hint="eastAsia" w:ascii="仿宋_GB2312" w:hAnsi="仿宋_GB2312" w:cs="仿宋_GB2312"/>
              <w:color w:val="000000" w:themeColor="text1"/>
              <w:sz w:val="28"/>
              <w:szCs w:val="28"/>
              <w:lang w:val="en-US" w:eastAsia="zh-CN"/>
              <w14:textFill>
                <w14:solidFill>
                  <w14:schemeClr w14:val="tx1"/>
                </w14:solidFill>
              </w14:textFill>
            </w:rPr>
            <w:t>16</w:t>
          </w:r>
        </w:p>
        <w:p w14:paraId="11C815BD">
          <w:pPr>
            <w:pStyle w:val="13"/>
            <w:spacing w:line="500" w:lineRule="exact"/>
            <w:ind w:left="1280" w:hanging="640"/>
            <w:rPr>
              <w:rFonts w:hint="default" w:ascii="仿宋_GB2312" w:hAnsi="仿宋_GB2312" w:cs="仿宋_GB2312"/>
              <w:color w:val="000000" w:themeColor="text1"/>
              <w:sz w:val="28"/>
              <w:szCs w:val="28"/>
              <w:lang w:val="en-US" w:eastAsia="zh-CN"/>
              <w14:textFill>
                <w14:solidFill>
                  <w14:schemeClr w14:val="tx1"/>
                </w14:solidFill>
              </w14:textFill>
            </w:rPr>
          </w:pPr>
          <w:r>
            <w:rPr>
              <w:rFonts w:ascii="仿宋_GB2312" w:hAnsi="仿宋_GB2312" w:cs="仿宋_GB2312"/>
              <w:color w:val="000000" w:themeColor="text1"/>
              <w:sz w:val="28"/>
              <w:szCs w:val="28"/>
              <w14:textFill>
                <w14:solidFill>
                  <w14:schemeClr w14:val="tx1"/>
                </w14:solidFill>
              </w14:textFill>
            </w:rPr>
            <w:fldChar w:fldCharType="begin"/>
          </w:r>
          <w:r>
            <w:rPr>
              <w:rFonts w:ascii="仿宋_GB2312" w:hAnsi="仿宋_GB2312" w:cs="仿宋_GB2312"/>
              <w:color w:val="000000" w:themeColor="text1"/>
              <w:sz w:val="28"/>
              <w:szCs w:val="28"/>
              <w14:textFill>
                <w14:solidFill>
                  <w14:schemeClr w14:val="tx1"/>
                </w14:solidFill>
              </w14:textFill>
            </w:rPr>
            <w:instrText xml:space="preserve"> HYPERLINK \l "_Toc12528" </w:instrText>
          </w:r>
          <w:r>
            <w:rPr>
              <w:rFonts w:ascii="仿宋_GB2312" w:hAnsi="仿宋_GB2312" w:cs="仿宋_GB2312"/>
              <w:color w:val="000000" w:themeColor="text1"/>
              <w:sz w:val="28"/>
              <w:szCs w:val="28"/>
              <w14:textFill>
                <w14:solidFill>
                  <w14:schemeClr w14:val="tx1"/>
                </w14:solidFill>
              </w14:textFill>
            </w:rPr>
            <w:fldChar w:fldCharType="separate"/>
          </w:r>
          <w:r>
            <w:rPr>
              <w:rFonts w:ascii="仿宋_GB2312" w:hAnsi="仿宋_GB2312" w:cs="仿宋_GB2312"/>
              <w:color w:val="000000" w:themeColor="text1"/>
              <w:sz w:val="28"/>
              <w:szCs w:val="28"/>
              <w14:textFill>
                <w14:solidFill>
                  <w14:schemeClr w14:val="tx1"/>
                </w14:solidFill>
              </w14:textFill>
            </w:rPr>
            <w:t xml:space="preserve">图 </w:t>
          </w:r>
          <w:r>
            <w:rPr>
              <w:rFonts w:hint="eastAsia" w:ascii="仿宋_GB2312" w:hAnsi="仿宋_GB2312" w:cs="仿宋_GB2312"/>
              <w:color w:val="000000" w:themeColor="text1"/>
              <w:sz w:val="28"/>
              <w:szCs w:val="28"/>
              <w:lang w:val="en-US" w:eastAsia="zh-CN"/>
              <w14:textFill>
                <w14:solidFill>
                  <w14:schemeClr w14:val="tx1"/>
                </w14:solidFill>
              </w14:textFill>
            </w:rPr>
            <w:t>4</w:t>
          </w:r>
          <w:r>
            <w:rPr>
              <w:rFonts w:ascii="仿宋_GB2312" w:hAnsi="仿宋_GB2312" w:cs="仿宋_GB2312"/>
              <w:color w:val="000000" w:themeColor="text1"/>
              <w:sz w:val="28"/>
              <w:szCs w:val="28"/>
              <w14:textFill>
                <w14:solidFill>
                  <w14:schemeClr w14:val="tx1"/>
                </w14:solidFill>
              </w14:textFill>
            </w:rPr>
            <w:t xml:space="preserve">  “</w:t>
          </w:r>
          <w:r>
            <w:rPr>
              <w:rFonts w:hint="eastAsia" w:ascii="仿宋_GB2312" w:hAnsi="仿宋_GB2312" w:cs="仿宋_GB2312"/>
              <w:color w:val="000000" w:themeColor="text1"/>
              <w:sz w:val="28"/>
              <w:szCs w:val="28"/>
              <w:lang w:eastAsia="zh-CN"/>
              <w14:textFill>
                <w14:solidFill>
                  <w14:schemeClr w14:val="tx1"/>
                </w14:solidFill>
              </w14:textFill>
            </w:rPr>
            <w:t>诵读文学经典</w:t>
          </w:r>
          <w:r>
            <w:rPr>
              <w:rFonts w:hint="eastAsia" w:ascii="仿宋_GB2312" w:hAnsi="仿宋_GB2312" w:cs="仿宋_GB2312"/>
              <w:color w:val="000000" w:themeColor="text1"/>
              <w:sz w:val="28"/>
              <w:szCs w:val="28"/>
              <w:lang w:val="en-US" w:eastAsia="zh-CN"/>
              <w14:textFill>
                <w14:solidFill>
                  <w14:schemeClr w14:val="tx1"/>
                </w14:solidFill>
              </w14:textFill>
            </w:rPr>
            <w:t xml:space="preserve"> 传承优秀文化</w:t>
          </w:r>
          <w:r>
            <w:rPr>
              <w:rFonts w:ascii="仿宋_GB2312" w:hAnsi="仿宋_GB2312" w:cs="仿宋_GB2312"/>
              <w:color w:val="000000" w:themeColor="text1"/>
              <w:sz w:val="28"/>
              <w:szCs w:val="28"/>
              <w14:textFill>
                <w14:solidFill>
                  <w14:schemeClr w14:val="tx1"/>
                </w14:solidFill>
              </w14:textFill>
            </w:rPr>
            <w:t>”经典诵读比赛</w:t>
          </w:r>
          <w:r>
            <w:rPr>
              <w:rFonts w:ascii="仿宋_GB2312" w:hAnsi="仿宋_GB2312" w:cs="仿宋_GB2312"/>
              <w:color w:val="000000" w:themeColor="text1"/>
              <w:sz w:val="28"/>
              <w:szCs w:val="28"/>
              <w14:textFill>
                <w14:solidFill>
                  <w14:schemeClr w14:val="tx1"/>
                </w14:solidFill>
              </w14:textFill>
            </w:rPr>
            <w:fldChar w:fldCharType="end"/>
          </w:r>
          <w:r>
            <w:rPr>
              <w:rFonts w:hint="eastAsia" w:ascii="仿宋_GB2312" w:hAnsi="仿宋_GB2312" w:cs="仿宋_GB2312"/>
              <w:color w:val="000000" w:themeColor="text1"/>
              <w:sz w:val="28"/>
              <w:szCs w:val="28"/>
              <w:lang w:val="en-US" w:eastAsia="zh-CN"/>
              <w14:textFill>
                <w14:solidFill>
                  <w14:schemeClr w14:val="tx1"/>
                </w14:solidFill>
              </w14:textFill>
            </w:rPr>
            <w:t>21</w:t>
          </w:r>
        </w:p>
        <w:p w14:paraId="60A30D3E">
          <w:pPr>
            <w:spacing w:line="360" w:lineRule="auto"/>
            <w:ind w:firstLine="640" w:firstLineChars="200"/>
            <w:rPr>
              <w:rFonts w:hint="default" w:ascii="仿宋" w:hAnsi="仿宋" w:eastAsia="仿宋" w:cs="仿宋"/>
              <w:color w:val="auto"/>
              <w:szCs w:val="32"/>
              <w:lang w:val="en-US" w:eastAsia="zh-CN"/>
            </w:rPr>
          </w:pPr>
          <w:r>
            <w:fldChar w:fldCharType="begin"/>
          </w:r>
          <w:r>
            <w:instrText xml:space="preserve"> HYPERLINK \l "_Toc8983" </w:instrText>
          </w:r>
          <w:r>
            <w:fldChar w:fldCharType="separate"/>
          </w:r>
          <w:r>
            <w:rPr>
              <w:rFonts w:ascii="仿宋_GB2312" w:hAnsi="仿宋_GB2312" w:cs="仿宋_GB2312"/>
              <w:color w:val="000000" w:themeColor="text1"/>
              <w:sz w:val="28"/>
              <w:szCs w:val="28"/>
              <w14:textFill>
                <w14:solidFill>
                  <w14:schemeClr w14:val="tx1"/>
                </w14:solidFill>
              </w14:textFill>
            </w:rPr>
            <w:t xml:space="preserve">图 </w:t>
          </w:r>
          <w:r>
            <w:rPr>
              <w:rFonts w:hint="eastAsia" w:ascii="仿宋_GB2312" w:hAnsi="仿宋_GB2312" w:cs="仿宋_GB2312"/>
              <w:color w:val="000000" w:themeColor="text1"/>
              <w:sz w:val="28"/>
              <w:szCs w:val="28"/>
              <w:lang w:val="en-US" w:eastAsia="zh-CN"/>
              <w14:textFill>
                <w14:solidFill>
                  <w14:schemeClr w14:val="tx1"/>
                </w14:solidFill>
              </w14:textFill>
            </w:rPr>
            <w:t>5</w:t>
          </w:r>
          <w:r>
            <w:rPr>
              <w:rFonts w:ascii="仿宋_GB2312" w:hAnsi="仿宋_GB2312" w:cs="仿宋_GB2312"/>
              <w:color w:val="000000" w:themeColor="text1"/>
              <w:sz w:val="28"/>
              <w:szCs w:val="28"/>
              <w14:textFill>
                <w14:solidFill>
                  <w14:schemeClr w14:val="tx1"/>
                </w14:solidFill>
              </w14:textFill>
            </w:rPr>
            <w:t xml:space="preserve"> </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 xml:space="preserve"> </w:t>
          </w:r>
          <w:r>
            <w:rPr>
              <w:rFonts w:hint="eastAsia" w:ascii="仿宋_GB2312" w:hAnsi="仿宋_GB2312" w:eastAsia="仿宋_GB2312" w:cs="仿宋_GB2312"/>
              <w:color w:val="000000" w:themeColor="text1"/>
              <w:kern w:val="2"/>
              <w:sz w:val="28"/>
              <w:szCs w:val="28"/>
              <w:lang w:val="zh-CN" w:eastAsia="zh-CN" w:bidi="ar-SA"/>
              <w14:textFill>
                <w14:solidFill>
                  <w14:schemeClr w14:val="tx1"/>
                </w14:solidFill>
              </w14:textFill>
            </w:rPr>
            <w:t>市队网球教练员下基层训练网点指导训练</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2</w:t>
          </w:r>
          <w:r>
            <w:rPr>
              <w:rFonts w:hint="eastAsia" w:ascii="仿宋_GB2312" w:hAnsi="仿宋_GB2312" w:cs="仿宋_GB2312"/>
              <w:color w:val="000000" w:themeColor="text1"/>
              <w:kern w:val="2"/>
              <w:sz w:val="28"/>
              <w:szCs w:val="28"/>
              <w:lang w:val="en-US" w:eastAsia="zh-CN" w:bidi="ar-SA"/>
              <w14:textFill>
                <w14:solidFill>
                  <w14:schemeClr w14:val="tx1"/>
                </w14:solidFill>
              </w14:textFill>
            </w:rPr>
            <w:t>5</w:t>
          </w:r>
        </w:p>
        <w:p w14:paraId="28E1E905">
          <w:pPr>
            <w:pStyle w:val="13"/>
            <w:spacing w:line="500" w:lineRule="exact"/>
            <w:ind w:left="1280" w:hanging="640"/>
            <w:rPr>
              <w:rFonts w:hint="default" w:ascii="仿宋_GB2312" w:hAnsi="仿宋_GB2312" w:cs="仿宋_GB2312"/>
              <w:color w:val="000000" w:themeColor="text1"/>
              <w:sz w:val="28"/>
              <w:szCs w:val="28"/>
              <w14:textFill>
                <w14:solidFill>
                  <w14:schemeClr w14:val="tx1"/>
                </w14:solidFill>
              </w14:textFill>
            </w:rPr>
          </w:pPr>
          <w:r>
            <w:rPr>
              <w:rFonts w:ascii="仿宋_GB2312" w:hAnsi="仿宋_GB2312" w:cs="仿宋_GB2312"/>
              <w:color w:val="000000" w:themeColor="text1"/>
              <w:sz w:val="28"/>
              <w:szCs w:val="28"/>
              <w14:textFill>
                <w14:solidFill>
                  <w14:schemeClr w14:val="tx1"/>
                </w14:solidFill>
              </w14:textFill>
            </w:rPr>
            <w:fldChar w:fldCharType="end"/>
          </w:r>
        </w:p>
        <w:p w14:paraId="76074787">
          <w:pPr>
            <w:pStyle w:val="13"/>
            <w:spacing w:line="500" w:lineRule="exact"/>
            <w:ind w:left="0" w:leftChars="0" w:firstLine="0" w:firstLineChars="0"/>
            <w:rPr>
              <w:rFonts w:hint="default" w:ascii="仿宋_GB2312" w:hAnsi="仿宋_GB2312" w:cs="仿宋_GB2312"/>
              <w:color w:val="000000" w:themeColor="text1"/>
              <w:sz w:val="28"/>
              <w:szCs w:val="28"/>
              <w14:textFill>
                <w14:solidFill>
                  <w14:schemeClr w14:val="tx1"/>
                </w14:solidFill>
              </w14:textFill>
            </w:rPr>
          </w:pPr>
          <w:r>
            <w:rPr>
              <w:rFonts w:ascii="仿宋_GB2312" w:hAnsi="仿宋_GB2312" w:cs="仿宋_GB2312"/>
              <w:color w:val="000000" w:themeColor="text1"/>
              <w:sz w:val="28"/>
              <w:szCs w:val="28"/>
              <w14:textFill>
                <w14:solidFill>
                  <w14:schemeClr w14:val="tx1"/>
                </w14:solidFill>
              </w14:textFill>
            </w:rPr>
            <w:fldChar w:fldCharType="end"/>
          </w:r>
          <w:r>
            <w:rPr>
              <w:rFonts w:ascii="仿宋_GB2312" w:hAnsi="仿宋_GB2312" w:cs="仿宋_GB2312"/>
              <w:color w:val="000000" w:themeColor="text1"/>
              <w:sz w:val="28"/>
              <w:szCs w:val="28"/>
              <w14:textFill>
                <w14:solidFill>
                  <w14:schemeClr w14:val="tx1"/>
                </w14:solidFill>
              </w14:textFill>
            </w:rPr>
            <w:t>案例目录</w:t>
          </w:r>
        </w:p>
        <w:p w14:paraId="723C74AF">
          <w:pPr>
            <w:pStyle w:val="13"/>
            <w:spacing w:line="500" w:lineRule="exact"/>
            <w:ind w:left="1200" w:hanging="560"/>
            <w:rPr>
              <w:rFonts w:hint="default" w:ascii="仿宋_GB2312" w:hAnsi="仿宋_GB2312" w:cs="仿宋_GB2312"/>
              <w:color w:val="000000" w:themeColor="text1"/>
              <w:sz w:val="28"/>
              <w:szCs w:val="28"/>
              <w14:textFill>
                <w14:solidFill>
                  <w14:schemeClr w14:val="tx1"/>
                </w14:solidFill>
              </w14:textFill>
            </w:rPr>
          </w:pPr>
          <w:r>
            <w:rPr>
              <w:rFonts w:hint="default" w:ascii="仿宋_GB2312" w:hAnsi="仿宋_GB2312" w:cs="仿宋_GB2312"/>
              <w:color w:val="000000" w:themeColor="text1"/>
              <w:sz w:val="28"/>
              <w:szCs w:val="28"/>
              <w14:textFill>
                <w14:solidFill>
                  <w14:schemeClr w14:val="tx1"/>
                </w14:solidFill>
              </w14:textFill>
            </w:rPr>
            <w:fldChar w:fldCharType="begin"/>
          </w:r>
          <w:r>
            <w:rPr>
              <w:rFonts w:ascii="仿宋_GB2312" w:hAnsi="仿宋_GB2312" w:cs="仿宋_GB2312"/>
              <w:color w:val="000000" w:themeColor="text1"/>
              <w:sz w:val="28"/>
              <w:szCs w:val="28"/>
              <w14:textFill>
                <w14:solidFill>
                  <w14:schemeClr w14:val="tx1"/>
                </w14:solidFill>
              </w14:textFill>
            </w:rPr>
            <w:instrText xml:space="preserve">TOC \p " " \h \c "案例"</w:instrText>
          </w:r>
          <w:r>
            <w:rPr>
              <w:rFonts w:hint="default" w:ascii="仿宋_GB2312" w:hAnsi="仿宋_GB2312" w:cs="仿宋_GB2312"/>
              <w:color w:val="000000" w:themeColor="text1"/>
              <w:sz w:val="28"/>
              <w:szCs w:val="28"/>
              <w14:textFill>
                <w14:solidFill>
                  <w14:schemeClr w14:val="tx1"/>
                </w14:solidFill>
              </w14:textFill>
            </w:rPr>
            <w:fldChar w:fldCharType="separate"/>
          </w:r>
          <w:r>
            <w:fldChar w:fldCharType="begin"/>
          </w:r>
          <w:r>
            <w:instrText xml:space="preserve"> HYPERLINK \l "_Toc4912" </w:instrText>
          </w:r>
          <w:r>
            <w:fldChar w:fldCharType="separate"/>
          </w:r>
          <w:r>
            <w:rPr>
              <w:rFonts w:ascii="仿宋_GB2312" w:hAnsi="仿宋_GB2312" w:cs="仿宋_GB2312"/>
              <w:color w:val="000000" w:themeColor="text1"/>
              <w:sz w:val="28"/>
              <w:szCs w:val="28"/>
              <w14:textFill>
                <w14:solidFill>
                  <w14:schemeClr w14:val="tx1"/>
                </w14:solidFill>
              </w14:textFill>
            </w:rPr>
            <w:t xml:space="preserve">案例 1  </w:t>
          </w:r>
          <w:r>
            <w:rPr>
              <w:rFonts w:hint="eastAsia" w:ascii="仿宋_GB2312" w:hAnsi="仿宋_GB2312" w:cs="仿宋_GB2312"/>
              <w:color w:val="000000" w:themeColor="text1"/>
              <w:sz w:val="28"/>
              <w:szCs w:val="28"/>
              <w:lang w:val="en-US" w:eastAsia="zh-CN"/>
              <w14:textFill>
                <w14:solidFill>
                  <w14:schemeClr w14:val="tx1"/>
                </w14:solidFill>
              </w14:textFill>
            </w:rPr>
            <w:t>5</w:t>
          </w:r>
          <w:r>
            <w:rPr>
              <w:rFonts w:ascii="仿宋_GB2312" w:hAnsi="仿宋_GB2312" w:cs="仿宋_GB2312"/>
              <w:color w:val="000000" w:themeColor="text1"/>
              <w:sz w:val="28"/>
              <w:szCs w:val="28"/>
              <w14:textFill>
                <w14:solidFill>
                  <w14:schemeClr w14:val="tx1"/>
                </w14:solidFill>
              </w14:textFill>
            </w:rPr>
            <w:fldChar w:fldCharType="end"/>
          </w:r>
        </w:p>
        <w:p w14:paraId="4C34423B">
          <w:pPr>
            <w:pStyle w:val="13"/>
            <w:spacing w:line="500" w:lineRule="exact"/>
            <w:ind w:left="1280" w:hanging="640"/>
            <w:rPr>
              <w:rFonts w:hint="eastAsia" w:ascii="仿宋_GB2312" w:hAnsi="仿宋_GB2312" w:cs="仿宋_GB2312"/>
              <w:color w:val="000000" w:themeColor="text1"/>
              <w:sz w:val="28"/>
              <w:szCs w:val="28"/>
              <w:lang w:val="en-US" w:eastAsia="zh-CN"/>
              <w14:textFill>
                <w14:solidFill>
                  <w14:schemeClr w14:val="tx1"/>
                </w14:solidFill>
              </w14:textFill>
            </w:rPr>
          </w:pPr>
          <w:r>
            <w:fldChar w:fldCharType="begin"/>
          </w:r>
          <w:r>
            <w:instrText xml:space="preserve"> HYPERLINK \l "_Toc2246" </w:instrText>
          </w:r>
          <w:r>
            <w:fldChar w:fldCharType="separate"/>
          </w:r>
          <w:r>
            <w:rPr>
              <w:rFonts w:ascii="仿宋_GB2312" w:hAnsi="仿宋_GB2312" w:cs="仿宋_GB2312"/>
              <w:color w:val="000000" w:themeColor="text1"/>
              <w:sz w:val="28"/>
              <w:szCs w:val="28"/>
              <w14:textFill>
                <w14:solidFill>
                  <w14:schemeClr w14:val="tx1"/>
                </w14:solidFill>
              </w14:textFill>
            </w:rPr>
            <w:t xml:space="preserve">案例 2  </w:t>
          </w:r>
          <w:r>
            <w:rPr>
              <w:rFonts w:hint="eastAsia" w:ascii="仿宋_GB2312" w:hAnsi="仿宋_GB2312" w:cs="仿宋_GB2312"/>
              <w:color w:val="000000" w:themeColor="text1"/>
              <w:sz w:val="28"/>
              <w:szCs w:val="28"/>
              <w:lang w:val="en-US" w:eastAsia="zh-CN"/>
              <w14:textFill>
                <w14:solidFill>
                  <w14:schemeClr w14:val="tx1"/>
                </w14:solidFill>
              </w14:textFill>
            </w:rPr>
            <w:t>1</w:t>
          </w:r>
          <w:r>
            <w:rPr>
              <w:rFonts w:ascii="仿宋_GB2312" w:hAnsi="仿宋_GB2312" w:cs="仿宋_GB2312"/>
              <w:color w:val="000000" w:themeColor="text1"/>
              <w:sz w:val="28"/>
              <w:szCs w:val="28"/>
              <w14:textFill>
                <w14:solidFill>
                  <w14:schemeClr w14:val="tx1"/>
                </w14:solidFill>
              </w14:textFill>
            </w:rPr>
            <w:fldChar w:fldCharType="end"/>
          </w:r>
          <w:r>
            <w:rPr>
              <w:rFonts w:hint="eastAsia" w:ascii="仿宋_GB2312" w:hAnsi="仿宋_GB2312" w:cs="仿宋_GB2312"/>
              <w:color w:val="000000" w:themeColor="text1"/>
              <w:sz w:val="28"/>
              <w:szCs w:val="28"/>
              <w:lang w:val="en-US" w:eastAsia="zh-CN"/>
              <w14:textFill>
                <w14:solidFill>
                  <w14:schemeClr w14:val="tx1"/>
                </w14:solidFill>
              </w14:textFill>
            </w:rPr>
            <w:t>5</w:t>
          </w:r>
        </w:p>
        <w:p w14:paraId="56A46539">
          <w:pPr>
            <w:ind w:firstLine="640" w:firstLineChars="200"/>
            <w:rPr>
              <w:rFonts w:hint="eastAsia" w:ascii="仿宋_GB2312" w:hAnsi="仿宋_GB2312" w:cs="仿宋_GB2312"/>
              <w:color w:val="000000" w:themeColor="text1"/>
              <w:sz w:val="28"/>
              <w:szCs w:val="28"/>
              <w:lang w:val="en-US" w:eastAsia="zh-CN"/>
              <w14:textFill>
                <w14:solidFill>
                  <w14:schemeClr w14:val="tx1"/>
                </w14:solidFill>
              </w14:textFill>
            </w:rPr>
          </w:pPr>
          <w:r>
            <w:fldChar w:fldCharType="begin"/>
          </w:r>
          <w:r>
            <w:instrText xml:space="preserve"> HYPERLINK \l "_Toc2246" </w:instrText>
          </w:r>
          <w:r>
            <w:fldChar w:fldCharType="separate"/>
          </w:r>
          <w:r>
            <w:rPr>
              <w:rFonts w:ascii="仿宋_GB2312" w:hAnsi="仿宋_GB2312" w:cs="仿宋_GB2312"/>
              <w:color w:val="000000" w:themeColor="text1"/>
              <w:sz w:val="28"/>
              <w:szCs w:val="28"/>
              <w14:textFill>
                <w14:solidFill>
                  <w14:schemeClr w14:val="tx1"/>
                </w14:solidFill>
              </w14:textFill>
            </w:rPr>
            <w:t xml:space="preserve">案例 </w:t>
          </w:r>
          <w:r>
            <w:rPr>
              <w:rFonts w:hint="eastAsia" w:ascii="仿宋_GB2312" w:hAnsi="仿宋_GB2312" w:cs="仿宋_GB2312"/>
              <w:color w:val="000000" w:themeColor="text1"/>
              <w:sz w:val="28"/>
              <w:szCs w:val="28"/>
              <w:lang w:val="en-US" w:eastAsia="zh-CN"/>
              <w14:textFill>
                <w14:solidFill>
                  <w14:schemeClr w14:val="tx1"/>
                </w14:solidFill>
              </w14:textFill>
            </w:rPr>
            <w:t>3</w:t>
          </w:r>
          <w:r>
            <w:rPr>
              <w:rFonts w:ascii="仿宋_GB2312" w:hAnsi="仿宋_GB2312" w:cs="仿宋_GB2312"/>
              <w:color w:val="000000" w:themeColor="text1"/>
              <w:sz w:val="28"/>
              <w:szCs w:val="28"/>
              <w14:textFill>
                <w14:solidFill>
                  <w14:schemeClr w14:val="tx1"/>
                </w14:solidFill>
              </w14:textFill>
            </w:rPr>
            <w:t xml:space="preserve">  </w:t>
          </w:r>
          <w:r>
            <w:rPr>
              <w:rFonts w:hint="eastAsia" w:ascii="仿宋_GB2312" w:hAnsi="仿宋_GB2312" w:cs="仿宋_GB2312"/>
              <w:color w:val="000000" w:themeColor="text1"/>
              <w:sz w:val="28"/>
              <w:szCs w:val="28"/>
              <w:lang w:val="en-US" w:eastAsia="zh-CN"/>
              <w14:textFill>
                <w14:solidFill>
                  <w14:schemeClr w14:val="tx1"/>
                </w14:solidFill>
              </w14:textFill>
            </w:rPr>
            <w:t>2</w:t>
          </w:r>
          <w:r>
            <w:rPr>
              <w:rFonts w:ascii="仿宋_GB2312" w:hAnsi="仿宋_GB2312" w:cs="仿宋_GB2312"/>
              <w:color w:val="000000" w:themeColor="text1"/>
              <w:sz w:val="28"/>
              <w:szCs w:val="28"/>
              <w14:textFill>
                <w14:solidFill>
                  <w14:schemeClr w14:val="tx1"/>
                </w14:solidFill>
              </w14:textFill>
            </w:rPr>
            <w:fldChar w:fldCharType="end"/>
          </w:r>
          <w:r>
            <w:rPr>
              <w:rFonts w:hint="eastAsia" w:ascii="仿宋_GB2312" w:hAnsi="仿宋_GB2312" w:cs="仿宋_GB2312"/>
              <w:color w:val="000000" w:themeColor="text1"/>
              <w:sz w:val="28"/>
              <w:szCs w:val="28"/>
              <w:lang w:val="en-US" w:eastAsia="zh-CN"/>
              <w14:textFill>
                <w14:solidFill>
                  <w14:schemeClr w14:val="tx1"/>
                </w14:solidFill>
              </w14:textFill>
            </w:rPr>
            <w:t>0</w:t>
          </w:r>
        </w:p>
        <w:p w14:paraId="5B37C220">
          <w:pPr>
            <w:ind w:firstLine="640" w:firstLineChars="200"/>
            <w:rPr>
              <w:rFonts w:hint="default" w:ascii="仿宋_GB2312" w:hAnsi="仿宋_GB2312" w:cs="仿宋_GB2312"/>
              <w:color w:val="000000" w:themeColor="text1"/>
              <w:sz w:val="28"/>
              <w:szCs w:val="28"/>
              <w:lang w:val="en-US" w:eastAsia="zh-CN"/>
              <w14:textFill>
                <w14:solidFill>
                  <w14:schemeClr w14:val="tx1"/>
                </w14:solidFill>
              </w14:textFill>
            </w:rPr>
          </w:pPr>
          <w:r>
            <w:fldChar w:fldCharType="begin"/>
          </w:r>
          <w:r>
            <w:instrText xml:space="preserve"> HYPERLINK \l "_Toc2246" </w:instrText>
          </w:r>
          <w:r>
            <w:fldChar w:fldCharType="separate"/>
          </w:r>
          <w:r>
            <w:rPr>
              <w:rFonts w:ascii="仿宋_GB2312" w:hAnsi="仿宋_GB2312" w:cs="仿宋_GB2312"/>
              <w:color w:val="000000" w:themeColor="text1"/>
              <w:sz w:val="28"/>
              <w:szCs w:val="28"/>
              <w14:textFill>
                <w14:solidFill>
                  <w14:schemeClr w14:val="tx1"/>
                </w14:solidFill>
              </w14:textFill>
            </w:rPr>
            <w:t xml:space="preserve">案例 </w:t>
          </w:r>
          <w:r>
            <w:rPr>
              <w:rFonts w:hint="eastAsia" w:ascii="仿宋_GB2312" w:hAnsi="仿宋_GB2312" w:cs="仿宋_GB2312"/>
              <w:color w:val="000000" w:themeColor="text1"/>
              <w:sz w:val="28"/>
              <w:szCs w:val="28"/>
              <w:lang w:val="en-US" w:eastAsia="zh-CN"/>
              <w14:textFill>
                <w14:solidFill>
                  <w14:schemeClr w14:val="tx1"/>
                </w14:solidFill>
              </w14:textFill>
            </w:rPr>
            <w:t>4</w:t>
          </w:r>
          <w:r>
            <w:rPr>
              <w:rFonts w:ascii="仿宋_GB2312" w:hAnsi="仿宋_GB2312" w:cs="仿宋_GB2312"/>
              <w:color w:val="000000" w:themeColor="text1"/>
              <w:sz w:val="28"/>
              <w:szCs w:val="28"/>
              <w14:textFill>
                <w14:solidFill>
                  <w14:schemeClr w14:val="tx1"/>
                </w14:solidFill>
              </w14:textFill>
            </w:rPr>
            <w:t xml:space="preserve">  </w:t>
          </w:r>
          <w:r>
            <w:rPr>
              <w:rFonts w:hint="eastAsia" w:ascii="仿宋_GB2312" w:hAnsi="仿宋_GB2312" w:cs="仿宋_GB2312"/>
              <w:color w:val="000000" w:themeColor="text1"/>
              <w:sz w:val="28"/>
              <w:szCs w:val="28"/>
              <w:lang w:val="en-US" w:eastAsia="zh-CN"/>
              <w14:textFill>
                <w14:solidFill>
                  <w14:schemeClr w14:val="tx1"/>
                </w14:solidFill>
              </w14:textFill>
            </w:rPr>
            <w:t>2</w:t>
          </w:r>
          <w:r>
            <w:rPr>
              <w:rFonts w:ascii="仿宋_GB2312" w:hAnsi="仿宋_GB2312" w:cs="仿宋_GB2312"/>
              <w:color w:val="000000" w:themeColor="text1"/>
              <w:sz w:val="28"/>
              <w:szCs w:val="28"/>
              <w14:textFill>
                <w14:solidFill>
                  <w14:schemeClr w14:val="tx1"/>
                </w14:solidFill>
              </w14:textFill>
            </w:rPr>
            <w:fldChar w:fldCharType="end"/>
          </w:r>
          <w:r>
            <w:rPr>
              <w:rFonts w:hint="eastAsia" w:ascii="仿宋_GB2312" w:hAnsi="仿宋_GB2312" w:cs="仿宋_GB2312"/>
              <w:color w:val="000000" w:themeColor="text1"/>
              <w:sz w:val="28"/>
              <w:szCs w:val="28"/>
              <w:lang w:val="en-US" w:eastAsia="zh-CN"/>
              <w14:textFill>
                <w14:solidFill>
                  <w14:schemeClr w14:val="tx1"/>
                </w14:solidFill>
              </w14:textFill>
            </w:rPr>
            <w:t>4</w:t>
          </w:r>
        </w:p>
        <w:p w14:paraId="0AEA71C9">
          <w:pPr>
            <w:pStyle w:val="9"/>
          </w:pPr>
          <w:r>
            <w:rPr>
              <w:rFonts w:ascii="仿宋_GB2312" w:hAnsi="仿宋_GB2312" w:cs="仿宋_GB2312"/>
              <w:color w:val="000000" w:themeColor="text1"/>
              <w:sz w:val="28"/>
              <w:szCs w:val="28"/>
              <w14:textFill>
                <w14:solidFill>
                  <w14:schemeClr w14:val="tx1"/>
                </w14:solidFill>
              </w14:textFill>
            </w:rPr>
            <w:fldChar w:fldCharType="end"/>
          </w:r>
        </w:p>
        <w:p w14:paraId="794C6102">
          <w:pPr>
            <w:pStyle w:val="9"/>
          </w:pPr>
        </w:p>
        <w:p w14:paraId="2867A94E">
          <w:pPr>
            <w:pStyle w:val="13"/>
            <w:spacing w:line="500" w:lineRule="exact"/>
            <w:ind w:left="1200" w:hanging="560"/>
            <w:rPr>
              <w:rFonts w:hint="default"/>
              <w:color w:val="000000" w:themeColor="text1"/>
              <w14:textFill>
                <w14:solidFill>
                  <w14:schemeClr w14:val="tx1"/>
                </w14:solidFill>
              </w14:textFill>
            </w:rPr>
            <w:sectPr>
              <w:footerReference r:id="rId3" w:type="default"/>
              <w:pgSz w:w="11906" w:h="16838"/>
              <w:pgMar w:top="1440" w:right="1800" w:bottom="1440" w:left="1800" w:header="851" w:footer="992" w:gutter="0"/>
              <w:cols w:space="425" w:num="1"/>
              <w:docGrid w:type="lines" w:linePitch="312" w:charSpace="0"/>
            </w:sectPr>
          </w:pPr>
        </w:p>
      </w:sdtContent>
    </w:sdt>
    <w:p w14:paraId="097C272A">
      <w:pPr>
        <w:pStyle w:val="3"/>
        <w:keepNext w:val="0"/>
        <w:keepLines w:val="0"/>
        <w:adjustRightInd w:val="0"/>
        <w:snapToGrid w:val="0"/>
        <w:spacing w:line="560" w:lineRule="exact"/>
        <w:rPr>
          <w:rFonts w:hint="default" w:ascii="仿宋" w:hAnsi="仿宋" w:eastAsia="仿宋" w:cs="仿宋"/>
          <w:color w:val="auto"/>
        </w:rPr>
      </w:pPr>
      <w:r>
        <w:rPr>
          <w:rFonts w:ascii="仿宋" w:hAnsi="仿宋" w:eastAsia="仿宋" w:cs="仿宋"/>
          <w:color w:val="auto"/>
        </w:rPr>
        <w:t>1</w:t>
      </w:r>
      <w:bookmarkEnd w:id="0"/>
      <w:bookmarkEnd w:id="1"/>
      <w:bookmarkEnd w:id="2"/>
      <w:r>
        <w:rPr>
          <w:rFonts w:ascii="仿宋" w:hAnsi="仿宋" w:eastAsia="仿宋" w:cs="仿宋"/>
          <w:color w:val="auto"/>
        </w:rPr>
        <w:t>人才培养</w:t>
      </w:r>
    </w:p>
    <w:p w14:paraId="543F7A1F">
      <w:pPr>
        <w:pStyle w:val="4"/>
        <w:keepNext w:val="0"/>
        <w:keepLines w:val="0"/>
        <w:adjustRightInd w:val="0"/>
        <w:snapToGrid w:val="0"/>
        <w:spacing w:line="560" w:lineRule="exact"/>
        <w:ind w:firstLine="640" w:firstLineChars="200"/>
        <w:rPr>
          <w:rFonts w:hint="default" w:ascii="仿宋" w:hAnsi="仿宋" w:eastAsia="仿宋" w:cs="仿宋"/>
          <w:color w:val="auto"/>
        </w:rPr>
      </w:pPr>
      <w:bookmarkStart w:id="3" w:name="_Toc8218"/>
      <w:r>
        <w:rPr>
          <w:rFonts w:ascii="仿宋" w:hAnsi="仿宋" w:eastAsia="仿宋" w:cs="仿宋"/>
          <w:color w:val="auto"/>
        </w:rPr>
        <w:t>1.1党建引领</w:t>
      </w:r>
      <w:bookmarkEnd w:id="3"/>
    </w:p>
    <w:p w14:paraId="6C2261B3">
      <w:pPr>
        <w:tabs>
          <w:tab w:val="left" w:pos="958"/>
          <w:tab w:val="left" w:pos="1078"/>
        </w:tabs>
        <w:ind w:firstLine="640" w:firstLineChars="200"/>
        <w:rPr>
          <w:rFonts w:hint="eastAsia" w:ascii="Times New Roman" w:hAnsi="Times New Roman" w:eastAsia="仿宋_GB2312" w:cs="Times New Roman"/>
          <w:color w:val="auto"/>
          <w:sz w:val="32"/>
          <w:szCs w:val="32"/>
        </w:rPr>
      </w:pPr>
      <w:bookmarkStart w:id="4" w:name="_Toc13075"/>
      <w:r>
        <w:rPr>
          <w:rFonts w:hint="eastAsia" w:ascii="Times New Roman" w:hAnsi="Times New Roman" w:eastAsia="仿宋_GB2312" w:cs="Times New Roman"/>
          <w:color w:val="auto"/>
          <w:sz w:val="32"/>
          <w:szCs w:val="32"/>
          <w:lang w:eastAsia="zh-CN"/>
        </w:rPr>
        <w:t>（</w:t>
      </w:r>
      <w:r>
        <w:rPr>
          <w:rFonts w:hint="eastAsia" w:ascii="Times New Roman" w:hAnsi="Times New Roman" w:cs="Times New Roman"/>
          <w:color w:val="auto"/>
          <w:sz w:val="32"/>
          <w:szCs w:val="32"/>
          <w:lang w:val="en-US" w:eastAsia="zh-CN"/>
        </w:rPr>
        <w:t>一</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扎实开展党纪学习教育</w:t>
      </w:r>
    </w:p>
    <w:p w14:paraId="1DC0249F">
      <w:pPr>
        <w:tabs>
          <w:tab w:val="left" w:pos="958"/>
          <w:tab w:val="left" w:pos="1078"/>
        </w:tabs>
        <w:ind w:firstLine="320" w:firstLineChars="10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eastAsia" w:ascii="Times New Roman" w:hAnsi="Times New Roman" w:cs="Times New Roman"/>
          <w:color w:val="auto"/>
          <w:sz w:val="32"/>
          <w:szCs w:val="32"/>
          <w:lang w:val="en-US" w:eastAsia="zh-CN"/>
        </w:rPr>
        <w:t>1</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学校领导高度重视党纪学习教育，坚决履行党纪学习教育第一责任人职责，从党中央部署党纪学习教育以来，积极主动学习、分享相关内容，组织全体党员干部深入学习领会习近平总书记关于党纪学习教育的重要讲话重要指示精神。学校党总支按照市体育局党组部署要求，以党总支书记、支部书记讲党课、专家教授讲座等方式，通过认真地学推动扎实地做。今年共开展集中学习10余次，结合党纪学习教育开展专题党课8次、专题读书班2次，组织党员干部前往闽江监狱廉政警示教育基地开展警示教育活动1次，观看警示教育片3次。</w:t>
      </w:r>
    </w:p>
    <w:p w14:paraId="302448DD">
      <w:pPr>
        <w:tabs>
          <w:tab w:val="left" w:pos="958"/>
          <w:tab w:val="left" w:pos="1078"/>
        </w:tabs>
        <w:ind w:firstLine="320" w:firstLineChars="100"/>
        <w:rPr>
          <w:rFonts w:hint="eastAsia" w:ascii="Times New Roman" w:hAnsi="Times New Roman" w:eastAsia="仿宋_GB2312" w:cs="Times New Roman"/>
          <w:color w:val="auto"/>
          <w:sz w:val="32"/>
          <w:szCs w:val="32"/>
        </w:rPr>
      </w:pPr>
      <w:r>
        <w:rPr>
          <w:rFonts w:hint="eastAsia" w:ascii="Times New Roman" w:hAnsi="Times New Roman" w:cs="Times New Roman"/>
          <w:color w:val="auto"/>
          <w:sz w:val="32"/>
          <w:szCs w:val="32"/>
          <w:lang w:val="en-US" w:eastAsia="zh-CN"/>
        </w:rPr>
        <w:t>（2）</w:t>
      </w:r>
      <w:r>
        <w:rPr>
          <w:rFonts w:hint="eastAsia" w:ascii="Times New Roman" w:hAnsi="Times New Roman" w:eastAsia="仿宋_GB2312" w:cs="Times New Roman"/>
          <w:color w:val="auto"/>
          <w:sz w:val="32"/>
          <w:szCs w:val="32"/>
        </w:rPr>
        <w:t>推进成果转化，实现综合素质整体提升。一是定期开展主题活动。组织开展主题党日、普法宣传、廉政警示教育等活动，围绕“缅怀革命先烈 弘扬爱国精神”“提振精气神 建功新福建”等主题，组织参观研学活动2次，观看红色电影5次，开展“七一”等节日活动3次，在弘扬和践行新时代革命精神的进程中，与学校实际工作紧密结合推进，有效激发党员干部的创造力和创新力。二是深化近邻党建，带头强化“我为群众办实事”观念，通过开展移风易俗、垃圾分类、清洁家园、无偿献血、践行雷锋精神、国家安全教育、微心愿、慰问困难群众等志愿服务活动，持续学习贯彻习近平新时代中国特色社会主义思想，进一步推动党员干部为民服务精神，全年开展微心愿活动，慰问困难群众2次；慰问困难党员1次；进社区宣传移风易俗活动1次、开展“学雷锋”主题活动2次、开展“垃圾分类 清洁家园”等我为群众办实事活动13次。</w:t>
      </w:r>
    </w:p>
    <w:p w14:paraId="264D9B0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楷体_GB2312" w:hAnsi="仿宋_GB2312" w:eastAsia="楷体_GB2312" w:cs="仿宋_GB2312"/>
          <w:b w:val="0"/>
          <w:bCs w:val="0"/>
          <w:color w:val="auto"/>
          <w:sz w:val="32"/>
          <w:szCs w:val="32"/>
        </w:rPr>
      </w:pPr>
      <w:r>
        <w:rPr>
          <w:rFonts w:hint="eastAsia" w:ascii="楷体_GB2312" w:hAnsi="黑体" w:eastAsia="楷体_GB2312"/>
          <w:b w:val="0"/>
          <w:bCs w:val="0"/>
          <w:color w:val="auto"/>
          <w:sz w:val="32"/>
          <w:szCs w:val="32"/>
          <w:lang w:eastAsia="zh-CN"/>
        </w:rPr>
        <w:t>（</w:t>
      </w:r>
      <w:r>
        <w:rPr>
          <w:rFonts w:hint="eastAsia" w:ascii="楷体_GB2312" w:hAnsi="黑体" w:eastAsia="楷体_GB2312"/>
          <w:b w:val="0"/>
          <w:bCs w:val="0"/>
          <w:color w:val="auto"/>
          <w:sz w:val="32"/>
          <w:szCs w:val="32"/>
          <w:lang w:val="en-US" w:eastAsia="zh-CN"/>
        </w:rPr>
        <w:t>二</w:t>
      </w:r>
      <w:r>
        <w:rPr>
          <w:rFonts w:hint="eastAsia" w:ascii="楷体_GB2312" w:hAnsi="黑体" w:eastAsia="楷体_GB2312"/>
          <w:b w:val="0"/>
          <w:bCs w:val="0"/>
          <w:color w:val="auto"/>
          <w:sz w:val="32"/>
          <w:szCs w:val="32"/>
          <w:lang w:eastAsia="zh-CN"/>
        </w:rPr>
        <w:t>）强化引领</w:t>
      </w:r>
      <w:r>
        <w:rPr>
          <w:rFonts w:hint="eastAsia" w:ascii="楷体_GB2312" w:hAnsi="黑体" w:eastAsia="楷体_GB2312"/>
          <w:b w:val="0"/>
          <w:bCs w:val="0"/>
          <w:color w:val="auto"/>
          <w:sz w:val="32"/>
          <w:szCs w:val="32"/>
        </w:rPr>
        <w:t>，筑牢党组织战斗堡垒</w:t>
      </w:r>
    </w:p>
    <w:p w14:paraId="5442A850">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1</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认真履行意识形态工作主体责任，修订印发《福州市体育运动学校落实意识形态工作责任制》制定全年意识形态工作责任制考核内容，明确规定动作，推动工作落实。及时传达上级关于意识形态工作的文件精神，将分析研判意识形态领域情况纳入党总支重要议事日程，召开</w:t>
      </w:r>
      <w:r>
        <w:rPr>
          <w:rFonts w:hint="eastAsia" w:ascii="仿宋_GB2312" w:hAnsi="仿宋_GB2312" w:eastAsia="仿宋_GB2312" w:cs="仿宋_GB2312"/>
          <w:color w:val="auto"/>
          <w:sz w:val="32"/>
          <w:szCs w:val="32"/>
          <w:lang w:val="en-US" w:eastAsia="zh-CN"/>
        </w:rPr>
        <w:t>2次</w:t>
      </w:r>
      <w:r>
        <w:rPr>
          <w:rFonts w:hint="eastAsia" w:ascii="仿宋_GB2312" w:hAnsi="仿宋_GB2312" w:eastAsia="仿宋_GB2312" w:cs="仿宋_GB2312"/>
          <w:color w:val="auto"/>
          <w:sz w:val="32"/>
          <w:szCs w:val="32"/>
        </w:rPr>
        <w:t>意识形态分析研判会议。落实谈心谈话制度，始终掌握党员的思想动态，辨析突出问题，并及时疏导化解。</w:t>
      </w:r>
    </w:p>
    <w:p w14:paraId="2EDB66DC">
      <w:pPr>
        <w:pStyle w:val="4"/>
        <w:keepNext w:val="0"/>
        <w:keepLines w:val="0"/>
        <w:adjustRightInd w:val="0"/>
        <w:snapToGrid w:val="0"/>
        <w:spacing w:line="560" w:lineRule="exact"/>
        <w:ind w:firstLine="320" w:firstLineChars="100"/>
        <w:rPr>
          <w:rFonts w:hint="eastAsia"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lang w:val="en-US" w:eastAsia="zh-CN"/>
        </w:rPr>
        <w:t>（2）</w:t>
      </w:r>
      <w:r>
        <w:rPr>
          <w:rFonts w:hint="eastAsia" w:ascii="仿宋_GB2312" w:hAnsi="仿宋_GB2312" w:eastAsia="仿宋_GB2312" w:cs="仿宋_GB2312"/>
          <w:color w:val="auto"/>
          <w:sz w:val="32"/>
          <w:szCs w:val="32"/>
        </w:rPr>
        <w:t>加强廉政警示和法纪教育。</w:t>
      </w:r>
      <w:r>
        <w:rPr>
          <w:rFonts w:hint="eastAsia" w:ascii="仿宋_GB2312" w:hAnsi="仿宋_GB2312" w:eastAsia="仿宋_GB2312" w:cs="仿宋_GB2312"/>
          <w:color w:val="auto"/>
          <w:sz w:val="32"/>
          <w:szCs w:val="32"/>
          <w:lang w:val="en-US" w:eastAsia="zh-CN"/>
        </w:rPr>
        <w:t>对党员干部开展常态化的警示教育和党纪国法教育。在元旦、春节、清明、五一端午、中秋国庆等重要节点，通过廉政提醒谈话等方式强化日常教育管理监督；组织党员、干部认真学习党纪国法。</w:t>
      </w:r>
    </w:p>
    <w:p w14:paraId="7C131848">
      <w:pPr>
        <w:pStyle w:val="4"/>
        <w:keepNext w:val="0"/>
        <w:keepLines w:val="0"/>
        <w:adjustRightInd w:val="0"/>
        <w:snapToGrid w:val="0"/>
        <w:spacing w:line="560" w:lineRule="exact"/>
        <w:ind w:firstLine="640" w:firstLineChars="200"/>
        <w:rPr>
          <w:rFonts w:hint="default" w:ascii="仿宋" w:hAnsi="仿宋" w:eastAsia="仿宋" w:cs="仿宋"/>
          <w:color w:val="auto"/>
        </w:rPr>
      </w:pPr>
      <w:r>
        <w:rPr>
          <w:rFonts w:ascii="仿宋" w:hAnsi="仿宋" w:eastAsia="仿宋" w:cs="仿宋"/>
          <w:color w:val="auto"/>
        </w:rPr>
        <w:t>1.2</w:t>
      </w:r>
      <w:bookmarkEnd w:id="4"/>
      <w:r>
        <w:rPr>
          <w:rFonts w:ascii="仿宋" w:hAnsi="仿宋" w:eastAsia="仿宋" w:cs="仿宋"/>
          <w:color w:val="auto"/>
        </w:rPr>
        <w:t>德育工作</w:t>
      </w:r>
    </w:p>
    <w:p w14:paraId="3C717E50">
      <w:pPr>
        <w:tabs>
          <w:tab w:val="left" w:pos="958"/>
          <w:tab w:val="left" w:pos="1078"/>
        </w:tabs>
        <w:adjustRightInd w:val="0"/>
        <w:snapToGrid w:val="0"/>
        <w:spacing w:line="560" w:lineRule="exact"/>
        <w:ind w:firstLine="640" w:firstLineChars="200"/>
        <w:rPr>
          <w:rFonts w:hint="default" w:ascii="仿宋" w:hAnsi="仿宋" w:eastAsia="仿宋" w:cs="仿宋"/>
          <w:color w:val="auto"/>
          <w:szCs w:val="32"/>
        </w:rPr>
      </w:pPr>
      <w:bookmarkStart w:id="5" w:name="_Toc24665"/>
      <w:r>
        <w:rPr>
          <w:rFonts w:ascii="仿宋" w:hAnsi="仿宋" w:eastAsia="仿宋" w:cs="仿宋"/>
          <w:color w:val="auto"/>
          <w:szCs w:val="32"/>
        </w:rPr>
        <w:t>（1）</w:t>
      </w:r>
      <w:r>
        <w:rPr>
          <w:rFonts w:hint="eastAsia" w:ascii="仿宋" w:hAnsi="仿宋" w:eastAsia="仿宋" w:cs="仿宋"/>
          <w:color w:val="auto"/>
          <w:sz w:val="32"/>
          <w:szCs w:val="32"/>
        </w:rPr>
        <w:t>习近平新时代中国特色社会主义思想教育</w:t>
      </w:r>
    </w:p>
    <w:p w14:paraId="1A2602EC">
      <w:pPr>
        <w:spacing w:line="5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本</w:t>
      </w:r>
      <w:r>
        <w:rPr>
          <w:rFonts w:hint="eastAsia" w:ascii="仿宋" w:hAnsi="仿宋" w:eastAsia="仿宋" w:cs="仿宋"/>
          <w:color w:val="auto"/>
          <w:sz w:val="32"/>
          <w:szCs w:val="32"/>
          <w:lang w:eastAsia="zh-CN"/>
        </w:rPr>
        <w:t>学年</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福州市体育运动学校</w:t>
      </w:r>
      <w:r>
        <w:rPr>
          <w:rFonts w:hint="eastAsia" w:ascii="仿宋" w:hAnsi="仿宋" w:eastAsia="仿宋" w:cs="仿宋"/>
          <w:color w:val="auto"/>
          <w:sz w:val="32"/>
          <w:szCs w:val="32"/>
        </w:rPr>
        <w:t>坚持以习近平新时代中国特色社会主义思想为指导，深入学习</w:t>
      </w:r>
      <w:r>
        <w:rPr>
          <w:rFonts w:hint="eastAsia" w:ascii="仿宋" w:hAnsi="仿宋" w:eastAsia="仿宋" w:cs="仿宋"/>
          <w:color w:val="auto"/>
          <w:sz w:val="32"/>
          <w:szCs w:val="32"/>
          <w:lang w:eastAsia="zh-CN"/>
        </w:rPr>
        <w:t>贯彻</w:t>
      </w:r>
      <w:r>
        <w:rPr>
          <w:rFonts w:hint="eastAsia" w:ascii="仿宋" w:hAnsi="仿宋" w:eastAsia="仿宋" w:cs="仿宋"/>
          <w:color w:val="auto"/>
          <w:sz w:val="32"/>
          <w:szCs w:val="32"/>
        </w:rPr>
        <w:t>党的二十大精神</w:t>
      </w:r>
      <w:r>
        <w:rPr>
          <w:rFonts w:hint="eastAsia" w:ascii="仿宋" w:hAnsi="仿宋" w:eastAsia="仿宋" w:cs="仿宋"/>
          <w:color w:val="auto"/>
          <w:sz w:val="32"/>
          <w:szCs w:val="32"/>
          <w:lang w:eastAsia="zh-CN"/>
        </w:rPr>
        <w:t>和二十届三中全会精神</w:t>
      </w:r>
      <w:r>
        <w:rPr>
          <w:rFonts w:hint="eastAsia" w:ascii="仿宋" w:hAnsi="仿宋" w:eastAsia="仿宋" w:cs="仿宋"/>
          <w:color w:val="auto"/>
          <w:sz w:val="32"/>
          <w:szCs w:val="32"/>
        </w:rPr>
        <w:t>，以办人</w:t>
      </w:r>
      <w:bookmarkStart w:id="15" w:name="_GoBack"/>
      <w:bookmarkEnd w:id="15"/>
      <w:r>
        <w:rPr>
          <w:rFonts w:hint="eastAsia" w:ascii="仿宋" w:hAnsi="仿宋" w:eastAsia="仿宋" w:cs="仿宋"/>
          <w:color w:val="auto"/>
          <w:sz w:val="32"/>
          <w:szCs w:val="32"/>
        </w:rPr>
        <w:t>民满意教育为宗旨，围绕立德树人根本任务，</w:t>
      </w:r>
      <w:r>
        <w:rPr>
          <w:rFonts w:hint="eastAsia" w:ascii="仿宋" w:hAnsi="仿宋" w:eastAsia="仿宋"/>
          <w:color w:val="auto"/>
          <w:sz w:val="32"/>
          <w:szCs w:val="32"/>
        </w:rPr>
        <w:t>以校园</w:t>
      </w:r>
      <w:r>
        <w:rPr>
          <w:rFonts w:hint="eastAsia" w:ascii="仿宋" w:hAnsi="仿宋" w:eastAsia="仿宋"/>
          <w:color w:val="auto"/>
          <w:sz w:val="32"/>
          <w:szCs w:val="32"/>
          <w:lang w:eastAsia="zh-CN"/>
        </w:rPr>
        <w:t>文明</w:t>
      </w:r>
      <w:r>
        <w:rPr>
          <w:rFonts w:hint="eastAsia" w:ascii="仿宋" w:hAnsi="仿宋" w:eastAsia="仿宋"/>
          <w:color w:val="auto"/>
          <w:sz w:val="32"/>
          <w:szCs w:val="32"/>
        </w:rPr>
        <w:t>创建活动为载体，</w:t>
      </w:r>
      <w:r>
        <w:rPr>
          <w:rFonts w:hint="eastAsia" w:ascii="仿宋" w:hAnsi="仿宋" w:eastAsia="仿宋" w:cs="仿宋"/>
          <w:i w:val="0"/>
          <w:caps w:val="0"/>
          <w:color w:val="auto"/>
          <w:spacing w:val="0"/>
          <w:sz w:val="32"/>
          <w:szCs w:val="32"/>
        </w:rPr>
        <w:t>引导广大师生不断深化对“</w:t>
      </w:r>
      <w:r>
        <w:rPr>
          <w:rFonts w:hint="eastAsia" w:ascii="仿宋" w:hAnsi="仿宋" w:eastAsia="仿宋" w:cs="仿宋"/>
          <w:i w:val="0"/>
          <w:caps w:val="0"/>
          <w:color w:val="auto"/>
          <w:spacing w:val="0"/>
          <w:sz w:val="32"/>
          <w:szCs w:val="32"/>
          <w:lang w:eastAsia="zh-CN"/>
        </w:rPr>
        <w:t>四个意识</w:t>
      </w:r>
      <w:r>
        <w:rPr>
          <w:rFonts w:hint="eastAsia" w:ascii="仿宋" w:hAnsi="仿宋" w:eastAsia="仿宋" w:cs="仿宋"/>
          <w:i w:val="0"/>
          <w:caps w:val="0"/>
          <w:color w:val="auto"/>
          <w:spacing w:val="0"/>
          <w:sz w:val="32"/>
          <w:szCs w:val="32"/>
        </w:rPr>
        <w:t>”的政治认同、思想认同、理论认同、情感认同，更加自觉做到“两个维护”。</w:t>
      </w:r>
    </w:p>
    <w:p w14:paraId="2FD01B5B">
      <w:pPr>
        <w:spacing w:line="5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学校</w:t>
      </w:r>
      <w:r>
        <w:rPr>
          <w:rFonts w:hint="eastAsia" w:ascii="仿宋" w:hAnsi="仿宋" w:eastAsia="仿宋" w:cs="仿宋"/>
          <w:i w:val="0"/>
          <w:caps w:val="0"/>
          <w:color w:val="auto"/>
          <w:spacing w:val="0"/>
          <w:sz w:val="32"/>
          <w:szCs w:val="32"/>
          <w:shd w:val="clear" w:color="auto" w:fill="FFFFFF"/>
          <w:lang w:eastAsia="zh-CN"/>
        </w:rPr>
        <w:t>注重</w:t>
      </w:r>
      <w:r>
        <w:rPr>
          <w:rFonts w:hint="eastAsia" w:ascii="仿宋" w:hAnsi="仿宋" w:eastAsia="仿宋" w:cs="仿宋"/>
          <w:i w:val="0"/>
          <w:caps w:val="0"/>
          <w:color w:val="auto"/>
          <w:spacing w:val="0"/>
          <w:sz w:val="32"/>
          <w:szCs w:val="32"/>
          <w:shd w:val="clear" w:color="auto" w:fill="FFFFFF"/>
        </w:rPr>
        <w:t>全面推动习近平新时代中国特色社会主义思想和党的二十大精神进教材、进课堂、进头脑，寓</w:t>
      </w:r>
      <w:r>
        <w:rPr>
          <w:rFonts w:hint="eastAsia" w:ascii="仿宋" w:hAnsi="仿宋" w:eastAsia="仿宋" w:cs="仿宋"/>
          <w:i w:val="0"/>
          <w:caps w:val="0"/>
          <w:color w:val="auto"/>
          <w:spacing w:val="0"/>
          <w:sz w:val="32"/>
          <w:szCs w:val="32"/>
          <w:shd w:val="clear" w:color="auto" w:fill="FFFFFF"/>
          <w:lang w:eastAsia="zh-CN"/>
        </w:rPr>
        <w:t>意识形态的</w:t>
      </w:r>
      <w:r>
        <w:rPr>
          <w:rFonts w:hint="eastAsia" w:ascii="仿宋" w:hAnsi="仿宋" w:eastAsia="仿宋" w:cs="仿宋"/>
          <w:i w:val="0"/>
          <w:caps w:val="0"/>
          <w:color w:val="auto"/>
          <w:spacing w:val="0"/>
          <w:sz w:val="32"/>
          <w:szCs w:val="32"/>
          <w:shd w:val="clear" w:color="auto" w:fill="FFFFFF"/>
        </w:rPr>
        <w:t>引导于</w:t>
      </w:r>
      <w:r>
        <w:rPr>
          <w:rFonts w:hint="eastAsia" w:ascii="仿宋" w:hAnsi="仿宋" w:eastAsia="仿宋" w:cs="仿宋"/>
          <w:i w:val="0"/>
          <w:caps w:val="0"/>
          <w:color w:val="auto"/>
          <w:spacing w:val="0"/>
          <w:sz w:val="32"/>
          <w:szCs w:val="32"/>
          <w:shd w:val="clear" w:color="auto" w:fill="FFFFFF"/>
          <w:lang w:eastAsia="zh-CN"/>
        </w:rPr>
        <w:t>各科</w:t>
      </w:r>
      <w:r>
        <w:rPr>
          <w:rFonts w:hint="eastAsia" w:ascii="仿宋" w:hAnsi="仿宋" w:eastAsia="仿宋" w:cs="仿宋"/>
          <w:i w:val="0"/>
          <w:caps w:val="0"/>
          <w:color w:val="auto"/>
          <w:spacing w:val="0"/>
          <w:sz w:val="32"/>
          <w:szCs w:val="32"/>
          <w:shd w:val="clear" w:color="auto" w:fill="FFFFFF"/>
        </w:rPr>
        <w:t>知识</w:t>
      </w:r>
      <w:r>
        <w:rPr>
          <w:rFonts w:hint="eastAsia" w:ascii="仿宋" w:hAnsi="仿宋" w:eastAsia="仿宋" w:cs="仿宋"/>
          <w:i w:val="0"/>
          <w:caps w:val="0"/>
          <w:color w:val="auto"/>
          <w:spacing w:val="0"/>
          <w:sz w:val="32"/>
          <w:szCs w:val="32"/>
          <w:shd w:val="clear" w:color="auto" w:fill="FFFFFF"/>
          <w:lang w:eastAsia="zh-CN"/>
        </w:rPr>
        <w:t>的</w:t>
      </w:r>
      <w:r>
        <w:rPr>
          <w:rFonts w:hint="eastAsia" w:ascii="仿宋" w:hAnsi="仿宋" w:eastAsia="仿宋" w:cs="仿宋"/>
          <w:i w:val="0"/>
          <w:caps w:val="0"/>
          <w:color w:val="auto"/>
          <w:spacing w:val="0"/>
          <w:sz w:val="32"/>
          <w:szCs w:val="32"/>
          <w:shd w:val="clear" w:color="auto" w:fill="FFFFFF"/>
        </w:rPr>
        <w:t>传授和能力培养之中，帮助</w:t>
      </w:r>
      <w:r>
        <w:rPr>
          <w:rFonts w:hint="eastAsia" w:ascii="仿宋" w:hAnsi="仿宋" w:eastAsia="仿宋" w:cs="仿宋"/>
          <w:i w:val="0"/>
          <w:caps w:val="0"/>
          <w:color w:val="auto"/>
          <w:spacing w:val="0"/>
          <w:sz w:val="32"/>
          <w:szCs w:val="32"/>
          <w:shd w:val="clear" w:color="auto" w:fill="FFFFFF"/>
          <w:lang w:eastAsia="zh-CN"/>
        </w:rPr>
        <w:t>青少年</w:t>
      </w:r>
      <w:r>
        <w:rPr>
          <w:rFonts w:hint="eastAsia" w:ascii="仿宋" w:hAnsi="仿宋" w:eastAsia="仿宋" w:cs="仿宋"/>
          <w:i w:val="0"/>
          <w:caps w:val="0"/>
          <w:color w:val="auto"/>
          <w:spacing w:val="0"/>
          <w:sz w:val="32"/>
          <w:szCs w:val="32"/>
          <w:shd w:val="clear" w:color="auto" w:fill="FFFFFF"/>
        </w:rPr>
        <w:t>学生塑造正确的世界观、人生观、价值观，</w:t>
      </w:r>
      <w:r>
        <w:rPr>
          <w:rFonts w:hint="eastAsia" w:ascii="仿宋" w:hAnsi="仿宋" w:eastAsia="仿宋" w:cs="仿宋"/>
          <w:i w:val="0"/>
          <w:caps w:val="0"/>
          <w:color w:val="auto"/>
          <w:spacing w:val="0"/>
          <w:sz w:val="32"/>
          <w:szCs w:val="32"/>
          <w:shd w:val="clear" w:color="auto" w:fill="FFFFFF"/>
          <w:lang w:eastAsia="zh-CN"/>
        </w:rPr>
        <w:t>筑牢</w:t>
      </w:r>
      <w:r>
        <w:rPr>
          <w:rFonts w:hint="eastAsia" w:ascii="仿宋" w:hAnsi="仿宋" w:eastAsia="仿宋" w:cs="仿宋"/>
          <w:i w:val="0"/>
          <w:caps w:val="0"/>
          <w:color w:val="auto"/>
          <w:spacing w:val="0"/>
          <w:sz w:val="32"/>
          <w:szCs w:val="32"/>
          <w:shd w:val="clear" w:color="auto" w:fill="FFFFFF"/>
        </w:rPr>
        <w:t>学生听党话、跟党走的思想根基</w:t>
      </w:r>
      <w:r>
        <w:rPr>
          <w:rFonts w:hint="eastAsia" w:ascii="仿宋" w:hAnsi="仿宋" w:eastAsia="仿宋" w:cs="仿宋"/>
          <w:i w:val="0"/>
          <w:caps w:val="0"/>
          <w:color w:val="auto"/>
          <w:spacing w:val="0"/>
          <w:sz w:val="32"/>
          <w:szCs w:val="32"/>
          <w:shd w:val="clear" w:color="auto" w:fill="FFFFFF"/>
          <w:lang w:eastAsia="zh-CN"/>
        </w:rPr>
        <w:t>，</w:t>
      </w:r>
      <w:r>
        <w:rPr>
          <w:rFonts w:hint="eastAsia" w:ascii="仿宋" w:hAnsi="仿宋" w:eastAsia="仿宋" w:cs="仿宋"/>
          <w:i w:val="0"/>
          <w:caps w:val="0"/>
          <w:color w:val="auto"/>
          <w:spacing w:val="0"/>
          <w:sz w:val="32"/>
          <w:szCs w:val="32"/>
          <w:shd w:val="clear" w:color="auto" w:fill="FFFFFF"/>
        </w:rPr>
        <w:t>树立共产主义远大理想和中国特色社会主义共同理想，厚植爱国主义情怀，立志肩负起强国建设、民族复兴的时代重任</w:t>
      </w:r>
      <w:r>
        <w:rPr>
          <w:rFonts w:hint="eastAsia" w:ascii="仿宋" w:hAnsi="仿宋" w:eastAsia="仿宋" w:cs="仿宋"/>
          <w:i w:val="0"/>
          <w:caps w:val="0"/>
          <w:color w:val="auto"/>
          <w:spacing w:val="0"/>
          <w:sz w:val="32"/>
          <w:szCs w:val="32"/>
          <w:shd w:val="clear" w:color="auto" w:fill="FFFFFF"/>
          <w:lang w:eastAsia="zh-CN"/>
        </w:rPr>
        <w:t>。</w:t>
      </w:r>
    </w:p>
    <w:p w14:paraId="0132D151">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ascii="仿宋" w:hAnsi="仿宋" w:eastAsia="仿宋" w:cs="仿宋"/>
          <w:color w:val="auto"/>
          <w:szCs w:val="32"/>
        </w:rPr>
        <w:t>（2）</w:t>
      </w:r>
      <w:r>
        <w:rPr>
          <w:rFonts w:hint="eastAsia" w:ascii="仿宋" w:hAnsi="仿宋" w:eastAsia="仿宋" w:cs="仿宋"/>
          <w:color w:val="auto"/>
          <w:sz w:val="32"/>
          <w:szCs w:val="32"/>
        </w:rPr>
        <w:t>社会主义核心价值观教育</w:t>
      </w:r>
    </w:p>
    <w:p w14:paraId="32D11591">
      <w:pPr>
        <w:pStyle w:val="15"/>
        <w:keepNext w:val="0"/>
        <w:keepLines w:val="0"/>
        <w:widowControl/>
        <w:suppressLineNumbers w:val="0"/>
        <w:spacing w:before="0" w:beforeAutospacing="0" w:after="0" w:afterAutospacing="0"/>
        <w:ind w:left="0" w:right="0" w:firstLine="645"/>
        <w:jc w:val="left"/>
        <w:rPr>
          <w:rFonts w:hint="eastAsia" w:ascii="仿宋" w:hAnsi="仿宋" w:eastAsia="仿宋" w:cs="仿宋"/>
          <w:color w:val="auto"/>
          <w:sz w:val="32"/>
          <w:szCs w:val="32"/>
        </w:rPr>
      </w:pPr>
      <w:r>
        <w:rPr>
          <w:rFonts w:hint="eastAsia" w:ascii="仿宋" w:hAnsi="仿宋" w:eastAsia="仿宋" w:cs="仿宋"/>
          <w:color w:val="auto"/>
          <w:sz w:val="32"/>
          <w:szCs w:val="32"/>
        </w:rPr>
        <w:t>学校</w:t>
      </w:r>
      <w:r>
        <w:rPr>
          <w:rFonts w:hint="eastAsia" w:ascii="仿宋" w:hAnsi="仿宋" w:eastAsia="仿宋" w:cs="仿宋"/>
          <w:color w:val="auto"/>
          <w:sz w:val="32"/>
          <w:szCs w:val="32"/>
          <w:lang w:eastAsia="zh-CN"/>
        </w:rPr>
        <w:t>以</w:t>
      </w:r>
      <w:r>
        <w:rPr>
          <w:rFonts w:hint="eastAsia" w:ascii="仿宋" w:hAnsi="仿宋" w:eastAsia="仿宋" w:cs="仿宋"/>
          <w:color w:val="auto"/>
          <w:sz w:val="32"/>
          <w:szCs w:val="32"/>
        </w:rPr>
        <w:t>习近平新时代中国特色社会主义思想为指导，以社会主义核心价值观教育为基本内容，以理想信念为核心，以养成良好行为习惯为重点，营造良好的校园德育氛围，</w:t>
      </w:r>
      <w:r>
        <w:rPr>
          <w:rFonts w:hint="eastAsia" w:ascii="仿宋" w:hAnsi="仿宋" w:eastAsia="仿宋" w:cs="仿宋"/>
          <w:color w:val="auto"/>
          <w:sz w:val="32"/>
          <w:szCs w:val="32"/>
          <w:lang w:eastAsia="zh-CN"/>
        </w:rPr>
        <w:t>通过开展各种形式的校园文化活动，实现活动育人。通过主题班会、主题队会、主题团日、“文明风采”、国旗下讲话等形式，对学生开展爱国主义、心理健康、法律法规、道路交通安全等各项教育。并注重以民族传统节日、重大纪念日为契机，大力开展主题活动，丰富学生的精神世界，弘扬中华优秀传统美德，大力培育和践行社会主义核心价值观，</w:t>
      </w:r>
      <w:r>
        <w:rPr>
          <w:rFonts w:hint="eastAsia" w:ascii="仿宋" w:hAnsi="仿宋" w:eastAsia="仿宋" w:cs="仿宋"/>
          <w:color w:val="auto"/>
          <w:sz w:val="32"/>
          <w:szCs w:val="32"/>
        </w:rPr>
        <w:t>不断提高青少年学生的公民道德、个人品德修养和民主法治观念</w:t>
      </w:r>
      <w:r>
        <w:rPr>
          <w:rFonts w:hint="eastAsia" w:ascii="仿宋" w:hAnsi="仿宋" w:eastAsia="仿宋" w:cs="仿宋"/>
          <w:color w:val="auto"/>
          <w:sz w:val="32"/>
          <w:szCs w:val="32"/>
          <w:lang w:eastAsia="zh-CN"/>
        </w:rPr>
        <w:t>等</w:t>
      </w:r>
      <w:r>
        <w:rPr>
          <w:rFonts w:hint="eastAsia" w:ascii="仿宋" w:hAnsi="仿宋" w:eastAsia="仿宋" w:cs="仿宋"/>
          <w:color w:val="auto"/>
          <w:sz w:val="32"/>
          <w:szCs w:val="32"/>
        </w:rPr>
        <w:t>整体文明素养，为优化社会环境、提升全社会的道德素养发挥</w:t>
      </w:r>
      <w:r>
        <w:rPr>
          <w:rFonts w:hint="eastAsia" w:ascii="仿宋" w:hAnsi="仿宋" w:eastAsia="仿宋" w:cs="仿宋"/>
          <w:color w:val="auto"/>
          <w:sz w:val="32"/>
          <w:szCs w:val="32"/>
          <w:lang w:eastAsia="zh-CN"/>
        </w:rPr>
        <w:t>文明校园的</w:t>
      </w:r>
      <w:r>
        <w:rPr>
          <w:rFonts w:hint="eastAsia" w:ascii="仿宋" w:hAnsi="仿宋" w:eastAsia="仿宋" w:cs="仿宋"/>
          <w:color w:val="auto"/>
          <w:sz w:val="32"/>
          <w:szCs w:val="32"/>
        </w:rPr>
        <w:t>引领示范作用。</w:t>
      </w:r>
      <w:r>
        <w:rPr>
          <w:rFonts w:hint="eastAsia" w:ascii="仿宋" w:hAnsi="仿宋" w:eastAsia="仿宋" w:cs="仿宋"/>
          <w:color w:val="auto"/>
          <w:sz w:val="32"/>
          <w:szCs w:val="32"/>
          <w:lang w:eastAsia="zh-CN"/>
        </w:rPr>
        <w:t>特别是在2024年中华人民共和国成立75周年华诞之际，利用开展了“手绘家国梦 心燃爱国情”绘画大赛、“我和国旗合个影”、“向国旗敬礼”、“保守国家秘密，你我都是主人”等系列活动，引导青少年学生自觉弘扬爱国主义精神，增强学生的民族自豪感和爱国热情。</w:t>
      </w:r>
    </w:p>
    <w:p w14:paraId="1F888A08">
      <w:pPr>
        <w:tabs>
          <w:tab w:val="left" w:pos="958"/>
          <w:tab w:val="left" w:pos="1078"/>
        </w:tabs>
        <w:adjustRightInd w:val="0"/>
        <w:snapToGrid w:val="0"/>
        <w:spacing w:line="560" w:lineRule="exact"/>
        <w:ind w:firstLine="640" w:firstLineChars="200"/>
        <w:rPr>
          <w:rFonts w:hint="default" w:ascii="仿宋" w:hAnsi="仿宋" w:eastAsia="仿宋" w:cs="仿宋"/>
          <w:color w:val="auto"/>
          <w:szCs w:val="32"/>
        </w:rPr>
      </w:pPr>
      <w:r>
        <w:rPr>
          <w:rFonts w:ascii="仿宋" w:hAnsi="仿宋" w:eastAsia="仿宋" w:cs="仿宋"/>
          <w:color w:val="auto"/>
          <w:szCs w:val="32"/>
        </w:rPr>
        <w:t>（3）</w:t>
      </w:r>
      <w:r>
        <w:rPr>
          <w:rFonts w:hint="eastAsia" w:ascii="仿宋" w:hAnsi="仿宋" w:eastAsia="仿宋" w:cs="仿宋"/>
          <w:color w:val="auto"/>
          <w:sz w:val="32"/>
          <w:szCs w:val="32"/>
          <w:lang w:eastAsia="zh-CN"/>
        </w:rPr>
        <w:t>实行</w:t>
      </w:r>
      <w:r>
        <w:rPr>
          <w:rFonts w:ascii="仿宋" w:hAnsi="仿宋" w:eastAsia="仿宋" w:cs="仿宋"/>
          <w:color w:val="auto"/>
          <w:szCs w:val="32"/>
        </w:rPr>
        <w:t>德育精细化管理</w:t>
      </w:r>
    </w:p>
    <w:p w14:paraId="49E1CE98">
      <w:pPr>
        <w:adjustRightInd w:val="0"/>
        <w:snapToGrid w:val="0"/>
        <w:spacing w:line="560" w:lineRule="exact"/>
        <w:ind w:firstLine="640" w:firstLineChars="200"/>
        <w:rPr>
          <w:rFonts w:hint="default" w:ascii="仿宋" w:hAnsi="仿宋" w:eastAsia="仿宋" w:cs="仿宋"/>
          <w:color w:val="auto"/>
          <w:szCs w:val="32"/>
        </w:rPr>
      </w:pPr>
      <w:r>
        <w:rPr>
          <w:rFonts w:ascii="仿宋" w:hAnsi="仿宋" w:eastAsia="仿宋" w:cs="仿宋"/>
          <w:color w:val="auto"/>
          <w:szCs w:val="32"/>
        </w:rPr>
        <w:t>为全面加强对德育工作的精细化管理，强化养成教育，</w:t>
      </w:r>
      <w:r>
        <w:rPr>
          <w:rFonts w:hint="eastAsia" w:ascii="仿宋" w:hAnsi="仿宋" w:eastAsia="仿宋" w:cs="仿宋"/>
          <w:color w:val="auto"/>
          <w:szCs w:val="32"/>
          <w:lang w:eastAsia="zh-CN"/>
        </w:rPr>
        <w:t>学校根据</w:t>
      </w:r>
      <w:r>
        <w:rPr>
          <w:rFonts w:ascii="仿宋" w:hAnsi="仿宋" w:eastAsia="仿宋" w:cs="仿宋"/>
          <w:color w:val="auto"/>
          <w:szCs w:val="32"/>
        </w:rPr>
        <w:t>《福州市体育运动学校（含市少体校）班主任量化等级考核细则》，开展各种常态化的文明评比活动促进</w:t>
      </w:r>
      <w:r>
        <w:rPr>
          <w:rFonts w:hint="eastAsia" w:ascii="仿宋" w:hAnsi="仿宋" w:eastAsia="仿宋" w:cs="仿宋"/>
          <w:color w:val="auto"/>
          <w:szCs w:val="32"/>
          <w:lang w:eastAsia="zh-CN"/>
        </w:rPr>
        <w:t>班主任工作的积极性和学生</w:t>
      </w:r>
      <w:r>
        <w:rPr>
          <w:rFonts w:ascii="仿宋" w:hAnsi="仿宋" w:eastAsia="仿宋" w:cs="仿宋"/>
          <w:color w:val="auto"/>
          <w:szCs w:val="32"/>
        </w:rPr>
        <w:t>行为习惯的养成教育。加强对</w:t>
      </w:r>
      <w:r>
        <w:rPr>
          <w:rFonts w:hint="eastAsia" w:ascii="仿宋" w:hAnsi="仿宋" w:eastAsia="仿宋" w:cs="仿宋"/>
          <w:color w:val="auto"/>
          <w:szCs w:val="32"/>
          <w:lang w:eastAsia="zh-CN"/>
        </w:rPr>
        <w:t>德育</w:t>
      </w:r>
      <w:r>
        <w:rPr>
          <w:rFonts w:ascii="仿宋" w:hAnsi="仿宋" w:eastAsia="仿宋" w:cs="仿宋"/>
          <w:color w:val="auto"/>
          <w:szCs w:val="32"/>
        </w:rPr>
        <w:t>工作的管理，规范师生的行为，在工作作风、文明礼仪、班容班貌、内务管理等学生日常管理的各个环节，实行“6S”精细化管理，做到“处处有管理，事事见管理”。以评比促发展，以管理促养成，引导学生将各项行为规范内化于心,并转化为日常的文明行动。</w:t>
      </w:r>
    </w:p>
    <w:p w14:paraId="19BC4F19">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ascii="仿宋" w:hAnsi="仿宋" w:eastAsia="仿宋" w:cs="仿宋"/>
          <w:color w:val="auto"/>
          <w:szCs w:val="32"/>
        </w:rPr>
        <w:t>（4）</w:t>
      </w:r>
      <w:r>
        <w:rPr>
          <w:rFonts w:hint="eastAsia" w:ascii="仿宋" w:hAnsi="仿宋" w:eastAsia="仿宋" w:cs="仿宋"/>
          <w:color w:val="auto"/>
          <w:sz w:val="32"/>
          <w:szCs w:val="32"/>
          <w:lang w:eastAsia="zh-CN"/>
        </w:rPr>
        <w:t>重视</w:t>
      </w:r>
      <w:r>
        <w:rPr>
          <w:rFonts w:hint="eastAsia" w:ascii="仿宋" w:hAnsi="仿宋" w:eastAsia="仿宋" w:cs="仿宋"/>
          <w:color w:val="auto"/>
          <w:sz w:val="32"/>
          <w:szCs w:val="32"/>
        </w:rPr>
        <w:t>劳动教育</w:t>
      </w:r>
      <w:r>
        <w:rPr>
          <w:rFonts w:hint="eastAsia" w:ascii="仿宋" w:hAnsi="仿宋" w:eastAsia="仿宋" w:cs="仿宋"/>
          <w:color w:val="auto"/>
          <w:sz w:val="32"/>
          <w:szCs w:val="32"/>
          <w:lang w:eastAsia="zh-CN"/>
        </w:rPr>
        <w:t>在德育中的重要作用</w:t>
      </w:r>
    </w:p>
    <w:p w14:paraId="2C74331D">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我校非常重视劳动教育，以多渠道和多种形式在学生中开展劳动教育，激发学生的劳动热情，树立劳动光荣的观念。   一是经常性开展劳动主题教育和劳动实践活动，将学校的班队课与劳动课结合起来，将班级和学生宿舍的日常卫生和内务整理等劳动内容纳入6S文明评比，注重让学生在劳动中增强吃苦耐劳的意识和集体的凝聚力。二是结合运动训练专业实训实习的特点和内容，抓住学生与社会实际密切接触的时机，进行以敬业爱岗、诚实守信为重点的职业道德教育，增强学生劳动光荣的观念，提高学生的劳动技能，全面促进学生在思想作风、意志品质、组织纪律、行为习惯等综合素质方面的提升。</w:t>
      </w:r>
    </w:p>
    <w:p w14:paraId="3DE0BDC4">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总之，我校</w:t>
      </w:r>
      <w:r>
        <w:rPr>
          <w:rFonts w:hint="eastAsia" w:ascii="仿宋" w:hAnsi="仿宋" w:eastAsia="仿宋" w:cs="仿宋"/>
          <w:color w:val="auto"/>
          <w:sz w:val="32"/>
          <w:szCs w:val="32"/>
          <w:lang w:eastAsia="zh-CN"/>
        </w:rPr>
        <w:t>高度</w:t>
      </w:r>
      <w:r>
        <w:rPr>
          <w:rFonts w:hint="eastAsia" w:ascii="仿宋" w:hAnsi="仿宋" w:eastAsia="仿宋" w:cs="仿宋"/>
          <w:color w:val="auto"/>
          <w:sz w:val="32"/>
          <w:szCs w:val="32"/>
        </w:rPr>
        <w:t>重视学生的思想道德教育，注重</w:t>
      </w:r>
      <w:r>
        <w:rPr>
          <w:rFonts w:hint="eastAsia" w:ascii="仿宋" w:hAnsi="仿宋" w:eastAsia="仿宋" w:cs="仿宋"/>
          <w:color w:val="auto"/>
          <w:sz w:val="32"/>
          <w:szCs w:val="32"/>
          <w:lang w:eastAsia="zh-CN"/>
        </w:rPr>
        <w:t>结合我校运动训练专业特色以及</w:t>
      </w:r>
      <w:r>
        <w:rPr>
          <w:rFonts w:hint="eastAsia" w:ascii="仿宋" w:hAnsi="仿宋" w:eastAsia="仿宋" w:cs="仿宋"/>
          <w:color w:val="auto"/>
          <w:sz w:val="32"/>
          <w:szCs w:val="32"/>
        </w:rPr>
        <w:t>竞技体育带来的竞争和合作精神塑造学生的人格，培养他们积极乐观的心态和坚韧的品格</w:t>
      </w:r>
      <w:r>
        <w:rPr>
          <w:rFonts w:hint="eastAsia" w:ascii="仿宋" w:hAnsi="仿宋" w:eastAsia="仿宋" w:cs="仿宋"/>
          <w:color w:val="auto"/>
          <w:sz w:val="32"/>
          <w:szCs w:val="32"/>
          <w:lang w:eastAsia="zh-CN"/>
        </w:rPr>
        <w:t>，也为他们今后</w:t>
      </w:r>
      <w:r>
        <w:rPr>
          <w:rFonts w:hint="eastAsia" w:ascii="仿宋" w:hAnsi="仿宋" w:eastAsia="仿宋" w:cs="仿宋"/>
          <w:color w:val="auto"/>
          <w:sz w:val="32"/>
          <w:szCs w:val="32"/>
        </w:rPr>
        <w:t>个人职业素养</w:t>
      </w:r>
      <w:r>
        <w:rPr>
          <w:rFonts w:hint="eastAsia" w:ascii="仿宋" w:hAnsi="仿宋" w:eastAsia="仿宋" w:cs="仿宋"/>
          <w:color w:val="auto"/>
          <w:sz w:val="32"/>
          <w:szCs w:val="32"/>
          <w:lang w:eastAsia="zh-CN"/>
        </w:rPr>
        <w:t>的养成和职业规划奠定基础。</w:t>
      </w:r>
    </w:p>
    <w:p w14:paraId="185323CD">
      <w:pPr>
        <w:pStyle w:val="15"/>
        <w:shd w:val="clear" w:color="auto" w:fill="FFFFFF"/>
        <w:adjustRightInd w:val="0"/>
        <w:snapToGrid w:val="0"/>
        <w:spacing w:before="0" w:beforeAutospacing="0" w:after="0" w:afterAutospacing="0" w:line="560" w:lineRule="exact"/>
        <w:jc w:val="both"/>
        <w:rPr>
          <w:rFonts w:hint="default" w:ascii="仿宋" w:hAnsi="仿宋" w:eastAsia="仿宋" w:cs="仿宋"/>
          <w:color w:val="auto"/>
          <w:sz w:val="32"/>
          <w:szCs w:val="32"/>
        </w:rPr>
      </w:pPr>
      <w:r>
        <w:rPr>
          <w:rFonts w:ascii="仿宋" w:hAnsi="仿宋" w:eastAsia="仿宋" w:cs="仿宋"/>
          <w:color w:val="auto"/>
          <w:sz w:val="32"/>
          <w:szCs w:val="32"/>
        </w:rPr>
        <w:t>典型案例1：</w:t>
      </w:r>
    </w:p>
    <w:p w14:paraId="2BD3AB8F">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行走的</w:t>
      </w:r>
      <w:r>
        <w:rPr>
          <w:rFonts w:hint="eastAsia" w:ascii="仿宋" w:hAnsi="仿宋" w:eastAsia="仿宋" w:cs="仿宋"/>
          <w:color w:val="auto"/>
          <w:sz w:val="32"/>
          <w:szCs w:val="32"/>
          <w:lang w:eastAsia="zh-CN"/>
        </w:rPr>
        <w:t>思政</w:t>
      </w:r>
      <w:r>
        <w:rPr>
          <w:rFonts w:hint="eastAsia" w:ascii="仿宋" w:hAnsi="仿宋" w:eastAsia="仿宋" w:cs="仿宋"/>
          <w:color w:val="auto"/>
          <w:sz w:val="32"/>
          <w:szCs w:val="32"/>
        </w:rPr>
        <w:t>课堂</w:t>
      </w:r>
    </w:p>
    <w:p w14:paraId="66CE2E69">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市体校团员</w:t>
      </w:r>
      <w:r>
        <w:rPr>
          <w:rFonts w:hint="eastAsia" w:ascii="仿宋" w:hAnsi="仿宋" w:eastAsia="仿宋" w:cs="仿宋"/>
          <w:color w:val="auto"/>
          <w:sz w:val="32"/>
          <w:szCs w:val="32"/>
          <w:lang w:val="en-US" w:eastAsia="zh-CN"/>
        </w:rPr>
        <w:t>走</w:t>
      </w:r>
      <w:r>
        <w:rPr>
          <w:rFonts w:hint="eastAsia" w:ascii="仿宋" w:hAnsi="仿宋" w:eastAsia="仿宋" w:cs="仿宋"/>
          <w:color w:val="auto"/>
          <w:sz w:val="32"/>
          <w:szCs w:val="32"/>
        </w:rPr>
        <w:t>进市二福利院</w:t>
      </w:r>
      <w:r>
        <w:rPr>
          <w:rFonts w:hint="eastAsia" w:ascii="仿宋" w:hAnsi="仿宋" w:eastAsia="仿宋" w:cs="仿宋"/>
          <w:color w:val="auto"/>
          <w:sz w:val="32"/>
          <w:szCs w:val="32"/>
          <w:lang w:val="en-US" w:eastAsia="zh-CN"/>
        </w:rPr>
        <w:t>开展</w:t>
      </w:r>
      <w:r>
        <w:rPr>
          <w:rFonts w:hint="eastAsia" w:ascii="仿宋" w:hAnsi="仿宋" w:eastAsia="仿宋" w:cs="仿宋"/>
          <w:color w:val="auto"/>
          <w:sz w:val="32"/>
          <w:szCs w:val="32"/>
        </w:rPr>
        <w:t>志愿活动</w:t>
      </w:r>
    </w:p>
    <w:p w14:paraId="718F35AA">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700" w:firstLineChars="200"/>
        <w:rPr>
          <w:rFonts w:hint="eastAsia" w:ascii="仿宋" w:hAnsi="仿宋" w:eastAsia="仿宋" w:cs="仿宋"/>
          <w:color w:val="auto"/>
          <w:sz w:val="32"/>
          <w:szCs w:val="32"/>
        </w:rPr>
      </w:pPr>
      <w:r>
        <w:rPr>
          <w:rFonts w:hint="eastAsia" w:ascii="仿宋" w:hAnsi="仿宋" w:eastAsia="仿宋" w:cs="仿宋"/>
          <w:i w:val="0"/>
          <w:caps w:val="0"/>
          <w:color w:val="auto"/>
          <w:spacing w:val="15"/>
          <w:sz w:val="32"/>
          <w:szCs w:val="32"/>
          <w:shd w:val="clear" w:color="auto" w:fill="FFFFFF"/>
        </w:rPr>
        <w:t>为深入学习贯彻党的二十大、二十届</w:t>
      </w:r>
      <w:r>
        <w:rPr>
          <w:rFonts w:hint="eastAsia" w:ascii="仿宋" w:hAnsi="仿宋" w:eastAsia="仿宋" w:cs="仿宋"/>
          <w:i w:val="0"/>
          <w:caps w:val="0"/>
          <w:color w:val="auto"/>
          <w:spacing w:val="15"/>
          <w:sz w:val="32"/>
          <w:szCs w:val="32"/>
          <w:shd w:val="clear" w:color="auto" w:fill="FFFFFF"/>
          <w:lang w:eastAsia="zh-CN"/>
        </w:rPr>
        <w:t>三</w:t>
      </w:r>
      <w:r>
        <w:rPr>
          <w:rFonts w:hint="eastAsia" w:ascii="仿宋" w:hAnsi="仿宋" w:eastAsia="仿宋" w:cs="仿宋"/>
          <w:i w:val="0"/>
          <w:caps w:val="0"/>
          <w:color w:val="auto"/>
          <w:spacing w:val="15"/>
          <w:sz w:val="32"/>
          <w:szCs w:val="32"/>
          <w:shd w:val="clear" w:color="auto" w:fill="FFFFFF"/>
        </w:rPr>
        <w:t>中全会精神，贯彻落实习近平总书记关于</w:t>
      </w:r>
      <w:r>
        <w:rPr>
          <w:rFonts w:hint="eastAsia" w:ascii="仿宋" w:hAnsi="仿宋" w:eastAsia="仿宋" w:cs="仿宋"/>
          <w:i w:val="0"/>
          <w:caps w:val="0"/>
          <w:color w:val="auto"/>
          <w:spacing w:val="15"/>
          <w:sz w:val="32"/>
          <w:szCs w:val="32"/>
          <w:shd w:val="clear" w:color="auto" w:fill="FFFFFF"/>
          <w:lang w:eastAsia="zh-CN"/>
        </w:rPr>
        <w:t>孤残</w:t>
      </w:r>
      <w:r>
        <w:rPr>
          <w:rFonts w:hint="eastAsia" w:ascii="仿宋" w:hAnsi="仿宋" w:eastAsia="仿宋" w:cs="仿宋"/>
          <w:i w:val="0"/>
          <w:caps w:val="0"/>
          <w:color w:val="auto"/>
          <w:spacing w:val="15"/>
          <w:sz w:val="32"/>
          <w:szCs w:val="32"/>
          <w:shd w:val="clear" w:color="auto" w:fill="FFFFFF"/>
        </w:rPr>
        <w:t>儿童工作</w:t>
      </w:r>
      <w:r>
        <w:rPr>
          <w:rFonts w:hint="eastAsia" w:ascii="仿宋" w:hAnsi="仿宋" w:eastAsia="仿宋" w:cs="仿宋"/>
          <w:color w:val="auto"/>
          <w:sz w:val="32"/>
          <w:szCs w:val="32"/>
          <w:lang w:eastAsia="zh-CN"/>
        </w:rPr>
        <w:t>和</w:t>
      </w:r>
      <w:r>
        <w:rPr>
          <w:rFonts w:hint="eastAsia" w:ascii="仿宋" w:hAnsi="仿宋" w:eastAsia="仿宋" w:cs="仿宋"/>
          <w:color w:val="auto"/>
          <w:sz w:val="32"/>
          <w:szCs w:val="32"/>
        </w:rPr>
        <w:t>“大思政课”建设的重要指示精神</w:t>
      </w:r>
      <w:r>
        <w:rPr>
          <w:rFonts w:hint="eastAsia" w:ascii="仿宋" w:hAnsi="仿宋" w:eastAsia="仿宋" w:cs="仿宋"/>
          <w:i w:val="0"/>
          <w:caps w:val="0"/>
          <w:color w:val="auto"/>
          <w:spacing w:val="15"/>
          <w:sz w:val="32"/>
          <w:szCs w:val="32"/>
          <w:shd w:val="clear" w:color="auto" w:fill="FFFFFF"/>
        </w:rPr>
        <w:t>，</w:t>
      </w:r>
      <w:r>
        <w:rPr>
          <w:rFonts w:hint="eastAsia" w:ascii="仿宋" w:hAnsi="仿宋" w:eastAsia="仿宋" w:cs="仿宋"/>
          <w:i w:val="0"/>
          <w:caps w:val="0"/>
          <w:color w:val="auto"/>
          <w:spacing w:val="15"/>
          <w:sz w:val="32"/>
          <w:szCs w:val="32"/>
          <w:shd w:val="clear" w:color="auto" w:fill="FFFFFF"/>
          <w:lang w:eastAsia="zh-CN"/>
        </w:rPr>
        <w:t>引领我校青年团员为共同</w:t>
      </w:r>
      <w:r>
        <w:rPr>
          <w:rFonts w:hint="eastAsia" w:ascii="仿宋" w:hAnsi="仿宋" w:eastAsia="仿宋" w:cs="仿宋"/>
          <w:i w:val="0"/>
          <w:caps w:val="0"/>
          <w:color w:val="auto"/>
          <w:spacing w:val="15"/>
          <w:sz w:val="32"/>
          <w:szCs w:val="32"/>
          <w:shd w:val="clear" w:color="auto" w:fill="FFFFFF"/>
        </w:rPr>
        <w:t>做好孤残儿童关心关爱工作</w:t>
      </w:r>
      <w:r>
        <w:rPr>
          <w:rFonts w:hint="eastAsia" w:ascii="仿宋" w:hAnsi="仿宋" w:eastAsia="仿宋" w:cs="仿宋"/>
          <w:i w:val="0"/>
          <w:caps w:val="0"/>
          <w:color w:val="auto"/>
          <w:spacing w:val="15"/>
          <w:sz w:val="32"/>
          <w:szCs w:val="32"/>
          <w:shd w:val="clear" w:color="auto" w:fill="FFFFFF"/>
          <w:lang w:eastAsia="zh-CN"/>
        </w:rPr>
        <w:t>，尽一份</w:t>
      </w:r>
      <w:r>
        <w:rPr>
          <w:rFonts w:hint="eastAsia" w:ascii="仿宋" w:hAnsi="仿宋" w:eastAsia="仿宋" w:cs="仿宋"/>
          <w:i w:val="0"/>
          <w:caps w:val="0"/>
          <w:color w:val="auto"/>
          <w:spacing w:val="15"/>
          <w:sz w:val="32"/>
          <w:szCs w:val="32"/>
          <w:shd w:val="clear" w:color="auto" w:fill="FFFFFF"/>
        </w:rPr>
        <w:t>力量</w:t>
      </w:r>
      <w:r>
        <w:rPr>
          <w:rFonts w:hint="eastAsia" w:ascii="仿宋" w:hAnsi="仿宋" w:eastAsia="仿宋" w:cs="仿宋"/>
          <w:i w:val="0"/>
          <w:caps w:val="0"/>
          <w:color w:val="auto"/>
          <w:spacing w:val="15"/>
          <w:sz w:val="32"/>
          <w:szCs w:val="32"/>
          <w:shd w:val="clear" w:color="auto" w:fill="FFFFFF"/>
          <w:lang w:eastAsia="zh-CN"/>
        </w:rPr>
        <w:t>。</w:t>
      </w:r>
      <w:r>
        <w:rPr>
          <w:rFonts w:hint="eastAsia" w:ascii="仿宋" w:hAnsi="仿宋" w:eastAsia="仿宋" w:cs="仿宋"/>
          <w:color w:val="auto"/>
          <w:sz w:val="32"/>
          <w:szCs w:val="32"/>
          <w:lang w:eastAsia="zh-CN"/>
        </w:rPr>
        <w:t>福州市体育运动学校积极</w:t>
      </w:r>
      <w:r>
        <w:rPr>
          <w:rFonts w:hint="eastAsia" w:ascii="仿宋" w:hAnsi="仿宋" w:eastAsia="仿宋" w:cs="仿宋"/>
          <w:color w:val="auto"/>
          <w:sz w:val="32"/>
          <w:szCs w:val="32"/>
        </w:rPr>
        <w:t>围绕思政主题，</w:t>
      </w:r>
      <w:r>
        <w:rPr>
          <w:rFonts w:hint="eastAsia" w:ascii="仿宋" w:hAnsi="仿宋" w:eastAsia="仿宋" w:cs="仿宋"/>
          <w:color w:val="auto"/>
          <w:sz w:val="32"/>
          <w:szCs w:val="32"/>
          <w:lang w:eastAsia="zh-CN"/>
        </w:rPr>
        <w:t>挖掘校园周边教育资源，</w:t>
      </w:r>
      <w:r>
        <w:rPr>
          <w:rFonts w:hint="eastAsia" w:ascii="仿宋" w:hAnsi="仿宋" w:eastAsia="仿宋" w:cs="仿宋"/>
          <w:color w:val="auto"/>
          <w:sz w:val="32"/>
          <w:szCs w:val="32"/>
        </w:rPr>
        <w:t>推动</w:t>
      </w:r>
      <w:r>
        <w:rPr>
          <w:rFonts w:hint="eastAsia" w:ascii="仿宋" w:hAnsi="仿宋" w:eastAsia="仿宋" w:cs="仿宋"/>
          <w:color w:val="auto"/>
          <w:sz w:val="32"/>
          <w:szCs w:val="32"/>
          <w:lang w:eastAsia="zh-CN"/>
        </w:rPr>
        <w:t>思政工作</w:t>
      </w:r>
      <w:r>
        <w:rPr>
          <w:rFonts w:hint="eastAsia" w:ascii="仿宋" w:hAnsi="仿宋" w:eastAsia="仿宋" w:cs="仿宋"/>
          <w:color w:val="auto"/>
          <w:sz w:val="32"/>
          <w:szCs w:val="32"/>
        </w:rPr>
        <w:t>走出</w:t>
      </w:r>
      <w:r>
        <w:rPr>
          <w:rFonts w:hint="eastAsia" w:ascii="仿宋" w:hAnsi="仿宋" w:eastAsia="仿宋" w:cs="仿宋"/>
          <w:color w:val="auto"/>
          <w:sz w:val="32"/>
          <w:szCs w:val="32"/>
          <w:lang w:eastAsia="zh-CN"/>
        </w:rPr>
        <w:t>课堂、走出</w:t>
      </w:r>
      <w:r>
        <w:rPr>
          <w:rFonts w:hint="eastAsia" w:ascii="仿宋" w:hAnsi="仿宋" w:eastAsia="仿宋" w:cs="仿宋"/>
          <w:color w:val="auto"/>
          <w:sz w:val="32"/>
          <w:szCs w:val="32"/>
        </w:rPr>
        <w:t>校园，与实践结合、与生活结合，</w:t>
      </w:r>
      <w:r>
        <w:rPr>
          <w:rFonts w:hint="eastAsia" w:ascii="仿宋" w:hAnsi="仿宋" w:eastAsia="仿宋" w:cs="仿宋"/>
          <w:color w:val="auto"/>
          <w:sz w:val="32"/>
          <w:szCs w:val="32"/>
          <w:lang w:eastAsia="zh-CN"/>
        </w:rPr>
        <w:t>促进学生全方位发展成才，提升立德树人实效。</w:t>
      </w:r>
    </w:p>
    <w:p w14:paraId="0C3719FC">
      <w:pPr>
        <w:ind w:firstLine="640" w:firstLineChars="200"/>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color w:val="auto"/>
          <w:sz w:val="32"/>
          <w:szCs w:val="32"/>
        </w:rPr>
        <w:t>3月5日，在第61个学雷锋纪念日来临之际，</w:t>
      </w:r>
      <w:r>
        <w:rPr>
          <w:rFonts w:hint="eastAsia" w:ascii="仿宋" w:hAnsi="仿宋" w:eastAsia="仿宋" w:cs="仿宋"/>
          <w:color w:val="auto"/>
          <w:sz w:val="32"/>
          <w:szCs w:val="32"/>
          <w:lang w:eastAsia="zh-CN"/>
        </w:rPr>
        <w:t>我</w:t>
      </w:r>
      <w:r>
        <w:rPr>
          <w:rFonts w:hint="eastAsia" w:ascii="仿宋" w:hAnsi="仿宋" w:eastAsia="仿宋" w:cs="仿宋"/>
          <w:color w:val="auto"/>
          <w:sz w:val="32"/>
          <w:szCs w:val="32"/>
        </w:rPr>
        <w:t>校团委</w:t>
      </w:r>
      <w:r>
        <w:rPr>
          <w:rFonts w:hint="eastAsia" w:ascii="仿宋" w:hAnsi="仿宋" w:eastAsia="仿宋" w:cs="仿宋"/>
          <w:color w:val="auto"/>
          <w:sz w:val="32"/>
          <w:szCs w:val="32"/>
          <w:lang w:eastAsia="zh-CN"/>
        </w:rPr>
        <w:t>带领青年团员</w:t>
      </w:r>
      <w:r>
        <w:rPr>
          <w:rFonts w:hint="eastAsia" w:ascii="仿宋" w:hAnsi="仿宋" w:eastAsia="仿宋" w:cs="仿宋"/>
          <w:color w:val="auto"/>
          <w:sz w:val="32"/>
          <w:szCs w:val="32"/>
        </w:rPr>
        <w:t>赴福州市第二福利院开展“学雷锋”志愿服务活动。</w:t>
      </w:r>
      <w:r>
        <w:rPr>
          <w:rFonts w:hint="eastAsia" w:ascii="仿宋" w:hAnsi="仿宋" w:eastAsia="仿宋" w:cs="仿宋"/>
          <w:color w:val="auto"/>
          <w:sz w:val="32"/>
          <w:szCs w:val="32"/>
          <w:lang w:eastAsia="zh-CN"/>
        </w:rPr>
        <w:t>除了帮忙</w:t>
      </w:r>
      <w:r>
        <w:rPr>
          <w:rFonts w:hint="eastAsia" w:ascii="仿宋" w:hAnsi="仿宋" w:eastAsia="仿宋" w:cs="仿宋"/>
          <w:color w:val="auto"/>
          <w:sz w:val="32"/>
          <w:szCs w:val="32"/>
          <w:lang w:val="en-US" w:eastAsia="zh-CN"/>
        </w:rPr>
        <w:t>清洁卫生，我校运动员还利用自己所学所长，带领孤残儿童进行体育锻炼，在结队互动中，</w:t>
      </w:r>
      <w:r>
        <w:rPr>
          <w:rFonts w:hint="eastAsia" w:ascii="仿宋" w:hAnsi="仿宋" w:eastAsia="仿宋" w:cs="仿宋"/>
          <w:i w:val="0"/>
          <w:caps w:val="0"/>
          <w:color w:val="auto"/>
          <w:spacing w:val="0"/>
          <w:sz w:val="32"/>
          <w:szCs w:val="32"/>
          <w:shd w:val="clear" w:color="auto" w:fill="FFFFFF"/>
          <w:lang w:eastAsia="zh-CN"/>
        </w:rPr>
        <w:t>福利院的儿童</w:t>
      </w:r>
      <w:r>
        <w:rPr>
          <w:rFonts w:hint="eastAsia" w:ascii="仿宋" w:hAnsi="仿宋" w:eastAsia="仿宋" w:cs="仿宋"/>
          <w:i w:val="0"/>
          <w:caps w:val="0"/>
          <w:color w:val="auto"/>
          <w:spacing w:val="0"/>
          <w:sz w:val="32"/>
          <w:szCs w:val="32"/>
          <w:shd w:val="clear" w:color="auto" w:fill="FFFFFF"/>
        </w:rPr>
        <w:t>们脸上露出了久违的笑容，院里的气氛也变得热闹起来。</w:t>
      </w:r>
    </w:p>
    <w:p w14:paraId="68F2B271">
      <w:pPr>
        <w:ind w:firstLine="640" w:firstLineChars="200"/>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color="auto" w:fill="FFFFFF"/>
        </w:rPr>
        <w:t>通过此次活动，</w:t>
      </w:r>
      <w:r>
        <w:rPr>
          <w:rFonts w:hint="eastAsia" w:ascii="仿宋" w:hAnsi="仿宋" w:eastAsia="仿宋" w:cs="仿宋"/>
          <w:i w:val="0"/>
          <w:caps w:val="0"/>
          <w:color w:val="auto"/>
          <w:spacing w:val="0"/>
          <w:sz w:val="32"/>
          <w:szCs w:val="32"/>
          <w:shd w:val="clear" w:color="auto" w:fill="FFFFFF"/>
          <w:lang w:eastAsia="zh-CN"/>
        </w:rPr>
        <w:t>我校</w:t>
      </w:r>
      <w:r>
        <w:rPr>
          <w:rFonts w:hint="eastAsia" w:ascii="仿宋" w:hAnsi="仿宋" w:eastAsia="仿宋" w:cs="仿宋"/>
          <w:i w:val="0"/>
          <w:caps w:val="0"/>
          <w:color w:val="auto"/>
          <w:spacing w:val="0"/>
          <w:sz w:val="32"/>
          <w:szCs w:val="32"/>
          <w:shd w:val="clear" w:color="auto" w:fill="FFFFFF"/>
        </w:rPr>
        <w:t>志愿者们用实际行动弘扬了“服务他人、奉献社会”的志愿服务理念</w:t>
      </w:r>
      <w:r>
        <w:rPr>
          <w:rFonts w:hint="eastAsia" w:ascii="仿宋" w:hAnsi="仿宋" w:eastAsia="仿宋" w:cs="仿宋"/>
          <w:i w:val="0"/>
          <w:caps w:val="0"/>
          <w:color w:val="auto"/>
          <w:spacing w:val="0"/>
          <w:sz w:val="32"/>
          <w:szCs w:val="32"/>
          <w:shd w:val="clear" w:color="auto" w:fill="FFFFFF"/>
          <w:lang w:eastAsia="zh-CN"/>
        </w:rPr>
        <w:t>，</w:t>
      </w:r>
      <w:r>
        <w:rPr>
          <w:rFonts w:hint="eastAsia" w:ascii="仿宋" w:hAnsi="仿宋" w:eastAsia="仿宋" w:cs="仿宋"/>
          <w:i w:val="0"/>
          <w:caps w:val="0"/>
          <w:color w:val="auto"/>
          <w:spacing w:val="0"/>
          <w:sz w:val="32"/>
          <w:szCs w:val="32"/>
          <w:shd w:val="clear" w:color="auto" w:fill="FFFFFF"/>
        </w:rPr>
        <w:t>成为爱与温暖的传递者</w:t>
      </w:r>
      <w:r>
        <w:rPr>
          <w:rFonts w:hint="eastAsia" w:ascii="仿宋" w:hAnsi="仿宋" w:eastAsia="仿宋" w:cs="仿宋"/>
          <w:i w:val="0"/>
          <w:caps w:val="0"/>
          <w:color w:val="auto"/>
          <w:spacing w:val="0"/>
          <w:sz w:val="32"/>
          <w:szCs w:val="32"/>
          <w:shd w:val="clear" w:color="auto" w:fill="FFFFFF"/>
          <w:lang w:eastAsia="zh-CN"/>
        </w:rPr>
        <w:t>，也</w:t>
      </w:r>
      <w:r>
        <w:rPr>
          <w:rFonts w:hint="eastAsia" w:ascii="仿宋" w:hAnsi="仿宋" w:eastAsia="仿宋" w:cs="仿宋"/>
          <w:color w:val="auto"/>
          <w:sz w:val="32"/>
          <w:szCs w:val="32"/>
        </w:rPr>
        <w:t>让雷锋精神绽放更加璀璨的光芒。</w:t>
      </w:r>
    </w:p>
    <w:p w14:paraId="7B0F3DB1">
      <w:pPr>
        <w:spacing w:line="700" w:lineRule="exact"/>
        <w:jc w:val="left"/>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此次福利院之行，是一次志愿服务活动，更</w:t>
      </w:r>
      <w:r>
        <w:rPr>
          <w:rFonts w:hint="eastAsia" w:ascii="仿宋" w:hAnsi="仿宋" w:eastAsia="仿宋" w:cs="仿宋"/>
          <w:i w:val="0"/>
          <w:caps w:val="0"/>
          <w:color w:val="auto"/>
          <w:spacing w:val="0"/>
          <w:sz w:val="32"/>
          <w:szCs w:val="32"/>
          <w:shd w:val="clear" w:color="auto" w:fill="FFFFFF"/>
        </w:rPr>
        <w:t>是一堂堂立足</w:t>
      </w:r>
      <w:r>
        <w:rPr>
          <w:rFonts w:hint="eastAsia" w:ascii="仿宋" w:hAnsi="仿宋" w:eastAsia="仿宋" w:cs="仿宋"/>
          <w:i w:val="0"/>
          <w:caps w:val="0"/>
          <w:color w:val="auto"/>
          <w:spacing w:val="0"/>
          <w:sz w:val="32"/>
          <w:szCs w:val="32"/>
          <w:shd w:val="clear" w:color="auto" w:fill="FFFFFF"/>
          <w:lang w:eastAsia="zh-CN"/>
        </w:rPr>
        <w:t>学校周边资源</w:t>
      </w:r>
      <w:r>
        <w:rPr>
          <w:rFonts w:hint="eastAsia" w:ascii="仿宋" w:hAnsi="仿宋" w:eastAsia="仿宋" w:cs="仿宋"/>
          <w:i w:val="0"/>
          <w:caps w:val="0"/>
          <w:color w:val="auto"/>
          <w:spacing w:val="0"/>
          <w:sz w:val="32"/>
          <w:szCs w:val="32"/>
          <w:shd w:val="clear" w:color="auto" w:fill="FFFFFF"/>
        </w:rPr>
        <w:t>的思政大课，在</w:t>
      </w:r>
      <w:r>
        <w:rPr>
          <w:rFonts w:hint="eastAsia" w:ascii="仿宋" w:hAnsi="仿宋" w:eastAsia="仿宋" w:cs="仿宋"/>
          <w:i w:val="0"/>
          <w:caps w:val="0"/>
          <w:color w:val="auto"/>
          <w:spacing w:val="0"/>
          <w:sz w:val="32"/>
          <w:szCs w:val="32"/>
          <w:shd w:val="clear" w:color="auto" w:fill="FFFFFF"/>
          <w:lang w:eastAsia="zh-CN"/>
        </w:rPr>
        <w:t>实践</w:t>
      </w:r>
      <w:r>
        <w:rPr>
          <w:rFonts w:hint="eastAsia" w:ascii="仿宋" w:hAnsi="仿宋" w:eastAsia="仿宋" w:cs="仿宋"/>
          <w:i w:val="0"/>
          <w:caps w:val="0"/>
          <w:color w:val="auto"/>
          <w:spacing w:val="0"/>
          <w:sz w:val="32"/>
          <w:szCs w:val="32"/>
          <w:shd w:val="clear" w:color="auto" w:fill="FFFFFF"/>
        </w:rPr>
        <w:t>中培养</w:t>
      </w:r>
      <w:r>
        <w:rPr>
          <w:rFonts w:hint="eastAsia" w:ascii="仿宋" w:hAnsi="仿宋" w:eastAsia="仿宋" w:cs="仿宋"/>
          <w:i w:val="0"/>
          <w:caps w:val="0"/>
          <w:color w:val="auto"/>
          <w:spacing w:val="0"/>
          <w:sz w:val="32"/>
          <w:szCs w:val="32"/>
          <w:shd w:val="clear" w:color="auto" w:fill="FFFFFF"/>
          <w:lang w:eastAsia="zh-CN"/>
        </w:rPr>
        <w:t>我校学子</w:t>
      </w:r>
      <w:r>
        <w:rPr>
          <w:rFonts w:hint="eastAsia" w:ascii="仿宋" w:hAnsi="仿宋" w:eastAsia="仿宋" w:cs="仿宋"/>
          <w:i w:val="0"/>
          <w:caps w:val="0"/>
          <w:color w:val="auto"/>
          <w:spacing w:val="0"/>
          <w:sz w:val="32"/>
          <w:szCs w:val="32"/>
          <w:shd w:val="clear" w:color="auto" w:fill="FFFFFF"/>
        </w:rPr>
        <w:t>知恩感恩，勇于担当的良好品质，</w:t>
      </w:r>
      <w:r>
        <w:rPr>
          <w:rFonts w:hint="eastAsia" w:ascii="仿宋" w:hAnsi="仿宋" w:eastAsia="仿宋" w:cs="仿宋"/>
          <w:i w:val="0"/>
          <w:caps w:val="0"/>
          <w:color w:val="auto"/>
          <w:spacing w:val="0"/>
          <w:sz w:val="32"/>
          <w:szCs w:val="32"/>
          <w:shd w:val="clear" w:color="auto" w:fill="FFFFFF"/>
          <w:lang w:eastAsia="zh-CN"/>
        </w:rPr>
        <w:t>把我校的思政课堂</w:t>
      </w:r>
      <w:r>
        <w:rPr>
          <w:rFonts w:hint="eastAsia" w:ascii="仿宋" w:hAnsi="仿宋" w:eastAsia="仿宋" w:cs="仿宋"/>
          <w:i w:val="0"/>
          <w:caps w:val="0"/>
          <w:color w:val="auto"/>
          <w:spacing w:val="0"/>
          <w:sz w:val="32"/>
          <w:szCs w:val="32"/>
          <w:shd w:val="clear" w:color="auto" w:fill="FFFFFF"/>
        </w:rPr>
        <w:t>从“书本”</w:t>
      </w:r>
      <w:r>
        <w:rPr>
          <w:rFonts w:hint="eastAsia" w:ascii="仿宋" w:hAnsi="仿宋" w:eastAsia="仿宋" w:cs="仿宋"/>
          <w:i w:val="0"/>
          <w:caps w:val="0"/>
          <w:color w:val="auto"/>
          <w:spacing w:val="0"/>
          <w:sz w:val="32"/>
          <w:szCs w:val="32"/>
          <w:shd w:val="clear" w:color="auto" w:fill="FFFFFF"/>
          <w:lang w:eastAsia="zh-CN"/>
        </w:rPr>
        <w:t>行走</w:t>
      </w:r>
      <w:r>
        <w:rPr>
          <w:rFonts w:hint="eastAsia" w:ascii="仿宋" w:hAnsi="仿宋" w:eastAsia="仿宋" w:cs="仿宋"/>
          <w:i w:val="0"/>
          <w:caps w:val="0"/>
          <w:color w:val="auto"/>
          <w:spacing w:val="0"/>
          <w:sz w:val="32"/>
          <w:szCs w:val="32"/>
          <w:shd w:val="clear" w:color="auto" w:fill="FFFFFF"/>
        </w:rPr>
        <w:t>到</w:t>
      </w:r>
      <w:r>
        <w:rPr>
          <w:rFonts w:hint="eastAsia" w:ascii="仿宋" w:hAnsi="仿宋" w:eastAsia="仿宋" w:cs="仿宋"/>
          <w:i w:val="0"/>
          <w:caps w:val="0"/>
          <w:color w:val="auto"/>
          <w:spacing w:val="0"/>
          <w:sz w:val="32"/>
          <w:szCs w:val="32"/>
          <w:shd w:val="clear" w:color="auto" w:fill="FFFFFF"/>
          <w:lang w:eastAsia="zh-CN"/>
        </w:rPr>
        <w:t>社会场景</w:t>
      </w:r>
      <w:r>
        <w:rPr>
          <w:rFonts w:hint="eastAsia" w:ascii="仿宋" w:hAnsi="仿宋" w:eastAsia="仿宋" w:cs="仿宋"/>
          <w:i w:val="0"/>
          <w:caps w:val="0"/>
          <w:color w:val="auto"/>
          <w:spacing w:val="0"/>
          <w:sz w:val="32"/>
          <w:szCs w:val="32"/>
          <w:shd w:val="clear" w:color="auto" w:fill="FFFFFF"/>
        </w:rPr>
        <w:t>中，</w:t>
      </w:r>
      <w:r>
        <w:rPr>
          <w:rFonts w:hint="eastAsia" w:ascii="仿宋" w:hAnsi="仿宋" w:eastAsia="仿宋" w:cs="仿宋"/>
          <w:i w:val="0"/>
          <w:caps w:val="0"/>
          <w:color w:val="auto"/>
          <w:spacing w:val="0"/>
          <w:sz w:val="32"/>
          <w:szCs w:val="32"/>
          <w:shd w:val="clear" w:color="auto" w:fill="FFFFFF"/>
          <w:lang w:eastAsia="zh-CN"/>
        </w:rPr>
        <w:t>把</w:t>
      </w:r>
      <w:r>
        <w:rPr>
          <w:rFonts w:hint="eastAsia" w:ascii="仿宋" w:hAnsi="仿宋" w:eastAsia="仿宋" w:cs="仿宋"/>
          <w:i w:val="0"/>
          <w:caps w:val="0"/>
          <w:color w:val="auto"/>
          <w:spacing w:val="0"/>
          <w:sz w:val="32"/>
          <w:szCs w:val="32"/>
          <w:shd w:val="clear" w:color="auto" w:fill="FFFFFF"/>
        </w:rPr>
        <w:t>“服务他人、奉献社会”</w:t>
      </w:r>
      <w:r>
        <w:rPr>
          <w:rFonts w:hint="eastAsia" w:ascii="仿宋" w:hAnsi="仿宋" w:eastAsia="仿宋" w:cs="仿宋"/>
          <w:color w:val="auto"/>
          <w:sz w:val="32"/>
          <w:szCs w:val="32"/>
        </w:rPr>
        <w:t>的价值追求</w:t>
      </w:r>
      <w:r>
        <w:rPr>
          <w:rFonts w:hint="eastAsia" w:ascii="仿宋" w:hAnsi="仿宋" w:eastAsia="仿宋" w:cs="仿宋"/>
          <w:i w:val="0"/>
          <w:caps w:val="0"/>
          <w:color w:val="auto"/>
          <w:spacing w:val="0"/>
          <w:sz w:val="32"/>
          <w:szCs w:val="32"/>
          <w:shd w:val="clear" w:color="auto" w:fill="FFFFFF"/>
        </w:rPr>
        <w:t>内化到学生的</w:t>
      </w:r>
      <w:r>
        <w:rPr>
          <w:rFonts w:hint="eastAsia" w:ascii="仿宋" w:hAnsi="仿宋" w:eastAsia="仿宋" w:cs="仿宋"/>
          <w:i w:val="0"/>
          <w:caps w:val="0"/>
          <w:color w:val="auto"/>
          <w:spacing w:val="0"/>
          <w:sz w:val="32"/>
          <w:szCs w:val="32"/>
          <w:shd w:val="clear" w:color="auto" w:fill="FFFFFF"/>
          <w:lang w:eastAsia="zh-CN"/>
        </w:rPr>
        <w:t>内心</w:t>
      </w:r>
      <w:r>
        <w:rPr>
          <w:rFonts w:hint="eastAsia" w:ascii="仿宋" w:hAnsi="仿宋" w:eastAsia="仿宋" w:cs="仿宋"/>
          <w:i w:val="0"/>
          <w:caps w:val="0"/>
          <w:color w:val="auto"/>
          <w:spacing w:val="0"/>
          <w:sz w:val="32"/>
          <w:szCs w:val="32"/>
          <w:shd w:val="clear" w:color="auto" w:fill="FFFFFF"/>
        </w:rPr>
        <w:t>。</w:t>
      </w:r>
    </w:p>
    <w:p w14:paraId="4C2A6E21">
      <w:pPr>
        <w:spacing w:line="700" w:lineRule="exact"/>
        <w:jc w:val="left"/>
        <w:rPr>
          <w:rFonts w:hint="eastAsia" w:ascii="仿宋" w:hAnsi="仿宋" w:eastAsia="仿宋" w:cs="仿宋"/>
          <w:i w:val="0"/>
          <w:caps w:val="0"/>
          <w:color w:val="auto"/>
          <w:spacing w:val="0"/>
          <w:sz w:val="32"/>
          <w:szCs w:val="32"/>
          <w:shd w:val="clear" w:color="auto" w:fill="FFFFFF"/>
        </w:rPr>
      </w:pPr>
      <w:r>
        <w:rPr>
          <w:rFonts w:hint="eastAsia" w:ascii="仿宋" w:hAnsi="仿宋" w:eastAsia="仿宋"/>
          <w:color w:val="auto"/>
          <w:sz w:val="32"/>
          <w:szCs w:val="32"/>
          <w:lang w:eastAsia="zh-CN"/>
        </w:rPr>
        <w:drawing>
          <wp:anchor distT="0" distB="0" distL="114300" distR="114300" simplePos="0" relativeHeight="251661312" behindDoc="1" locked="0" layoutInCell="1" allowOverlap="1">
            <wp:simplePos x="0" y="0"/>
            <wp:positionH relativeFrom="column">
              <wp:posOffset>284480</wp:posOffset>
            </wp:positionH>
            <wp:positionV relativeFrom="paragraph">
              <wp:posOffset>330200</wp:posOffset>
            </wp:positionV>
            <wp:extent cx="4799965" cy="3599815"/>
            <wp:effectExtent l="0" t="0" r="635" b="635"/>
            <wp:wrapTight wrapText="bothSides">
              <wp:wrapPolygon>
                <wp:start x="0" y="0"/>
                <wp:lineTo x="0" y="21490"/>
                <wp:lineTo x="21517" y="21490"/>
                <wp:lineTo x="21517" y="0"/>
                <wp:lineTo x="0" y="0"/>
              </wp:wrapPolygon>
            </wp:wrapTight>
            <wp:docPr id="3" name="图片 1" descr="74d8fbad409aa8fc21d6c86554b6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74d8fbad409aa8fc21d6c86554b6212"/>
                    <pic:cNvPicPr>
                      <a:picLocks noChangeAspect="1"/>
                    </pic:cNvPicPr>
                  </pic:nvPicPr>
                  <pic:blipFill>
                    <a:blip r:embed="rId7"/>
                    <a:stretch>
                      <a:fillRect/>
                    </a:stretch>
                  </pic:blipFill>
                  <pic:spPr>
                    <a:xfrm>
                      <a:off x="0" y="0"/>
                      <a:ext cx="4799965" cy="3599815"/>
                    </a:xfrm>
                    <a:prstGeom prst="rect">
                      <a:avLst/>
                    </a:prstGeom>
                    <a:noFill/>
                    <a:ln>
                      <a:noFill/>
                    </a:ln>
                  </pic:spPr>
                </pic:pic>
              </a:graphicData>
            </a:graphic>
          </wp:anchor>
        </w:drawing>
      </w:r>
    </w:p>
    <w:p w14:paraId="1C39DF6C">
      <w:pPr>
        <w:spacing w:line="700" w:lineRule="exact"/>
        <w:jc w:val="left"/>
        <w:rPr>
          <w:rFonts w:hint="eastAsia" w:ascii="仿宋" w:hAnsi="仿宋" w:eastAsia="仿宋" w:cs="仿宋"/>
          <w:i w:val="0"/>
          <w:caps w:val="0"/>
          <w:color w:val="auto"/>
          <w:spacing w:val="0"/>
          <w:sz w:val="32"/>
          <w:szCs w:val="32"/>
          <w:shd w:val="clear" w:color="auto" w:fill="FFFFFF"/>
        </w:rPr>
      </w:pPr>
    </w:p>
    <w:p w14:paraId="59A8A45A">
      <w:pPr>
        <w:spacing w:line="700" w:lineRule="exact"/>
        <w:jc w:val="left"/>
        <w:rPr>
          <w:rFonts w:hint="eastAsia" w:ascii="仿宋" w:hAnsi="仿宋" w:eastAsia="仿宋" w:cs="仿宋"/>
          <w:i w:val="0"/>
          <w:caps w:val="0"/>
          <w:color w:val="auto"/>
          <w:spacing w:val="0"/>
          <w:sz w:val="32"/>
          <w:szCs w:val="32"/>
          <w:shd w:val="clear" w:color="auto" w:fill="FFFFFF"/>
        </w:rPr>
      </w:pPr>
    </w:p>
    <w:p w14:paraId="1782923F">
      <w:pPr>
        <w:spacing w:line="700" w:lineRule="exact"/>
        <w:jc w:val="left"/>
        <w:rPr>
          <w:rFonts w:hint="eastAsia" w:ascii="仿宋" w:hAnsi="仿宋" w:eastAsia="仿宋" w:cs="仿宋"/>
          <w:i w:val="0"/>
          <w:caps w:val="0"/>
          <w:color w:val="auto"/>
          <w:spacing w:val="0"/>
          <w:sz w:val="32"/>
          <w:szCs w:val="32"/>
          <w:shd w:val="clear" w:color="auto" w:fill="FFFFFF"/>
        </w:rPr>
      </w:pPr>
    </w:p>
    <w:p w14:paraId="555FE705">
      <w:pPr>
        <w:spacing w:line="700" w:lineRule="exact"/>
        <w:jc w:val="left"/>
        <w:rPr>
          <w:rFonts w:hint="eastAsia" w:ascii="仿宋" w:hAnsi="仿宋" w:eastAsia="仿宋" w:cs="仿宋"/>
          <w:i w:val="0"/>
          <w:caps w:val="0"/>
          <w:color w:val="auto"/>
          <w:spacing w:val="0"/>
          <w:sz w:val="32"/>
          <w:szCs w:val="32"/>
          <w:shd w:val="clear" w:color="auto" w:fill="FFFFFF"/>
        </w:rPr>
      </w:pPr>
    </w:p>
    <w:p w14:paraId="2F709050">
      <w:pPr>
        <w:spacing w:line="700" w:lineRule="exact"/>
        <w:jc w:val="left"/>
        <w:rPr>
          <w:rFonts w:hint="eastAsia" w:ascii="仿宋" w:hAnsi="仿宋" w:eastAsia="仿宋" w:cs="仿宋"/>
          <w:i w:val="0"/>
          <w:caps w:val="0"/>
          <w:color w:val="auto"/>
          <w:spacing w:val="0"/>
          <w:sz w:val="32"/>
          <w:szCs w:val="32"/>
          <w:shd w:val="clear" w:color="auto" w:fill="FFFFFF"/>
          <w:lang w:eastAsia="zh-CN"/>
        </w:rPr>
      </w:pPr>
    </w:p>
    <w:p w14:paraId="29CBB071">
      <w:pPr>
        <w:pStyle w:val="4"/>
        <w:keepNext w:val="0"/>
        <w:keepLines w:val="0"/>
        <w:adjustRightInd w:val="0"/>
        <w:snapToGrid w:val="0"/>
        <w:spacing w:line="560" w:lineRule="exact"/>
        <w:rPr>
          <w:rFonts w:hint="default" w:ascii="仿宋" w:hAnsi="仿宋" w:eastAsia="仿宋" w:cs="仿宋"/>
          <w:color w:val="auto"/>
        </w:rPr>
      </w:pPr>
      <w:r>
        <w:rPr>
          <w:rFonts w:ascii="仿宋" w:hAnsi="仿宋" w:eastAsia="仿宋" w:cs="仿宋"/>
          <w:color w:val="auto"/>
        </w:rPr>
        <w:t xml:space="preserve">图1  </w:t>
      </w:r>
      <w:r>
        <w:rPr>
          <w:rFonts w:hint="eastAsia" w:ascii="仿宋" w:hAnsi="仿宋" w:eastAsia="仿宋" w:cs="仿宋"/>
          <w:color w:val="auto"/>
          <w:sz w:val="32"/>
          <w:szCs w:val="32"/>
          <w:lang w:eastAsia="zh-CN"/>
        </w:rPr>
        <w:t>我</w:t>
      </w:r>
      <w:r>
        <w:rPr>
          <w:rFonts w:hint="eastAsia" w:ascii="仿宋" w:hAnsi="仿宋" w:eastAsia="仿宋" w:cs="仿宋"/>
          <w:color w:val="auto"/>
          <w:sz w:val="32"/>
          <w:szCs w:val="32"/>
        </w:rPr>
        <w:t>校</w:t>
      </w:r>
      <w:r>
        <w:rPr>
          <w:rFonts w:hint="eastAsia" w:ascii="仿宋" w:hAnsi="仿宋" w:eastAsia="仿宋" w:cs="仿宋"/>
          <w:color w:val="auto"/>
          <w:sz w:val="32"/>
          <w:szCs w:val="32"/>
          <w:lang w:eastAsia="zh-CN"/>
        </w:rPr>
        <w:t>青年团员</w:t>
      </w:r>
      <w:r>
        <w:rPr>
          <w:rFonts w:hint="eastAsia" w:ascii="仿宋" w:hAnsi="仿宋" w:eastAsia="仿宋" w:cs="仿宋"/>
          <w:color w:val="auto"/>
          <w:sz w:val="32"/>
          <w:szCs w:val="32"/>
        </w:rPr>
        <w:t>赴福州市第二福利院开展“学雷锋”志愿服务活动</w:t>
      </w:r>
    </w:p>
    <w:p w14:paraId="1AC4E1F1">
      <w:pPr>
        <w:pStyle w:val="4"/>
        <w:keepNext w:val="0"/>
        <w:keepLines w:val="0"/>
        <w:adjustRightInd w:val="0"/>
        <w:snapToGrid w:val="0"/>
        <w:spacing w:line="560" w:lineRule="exact"/>
        <w:ind w:firstLine="640" w:firstLineChars="200"/>
        <w:rPr>
          <w:rFonts w:hint="default" w:ascii="仿宋" w:hAnsi="仿宋" w:eastAsia="仿宋" w:cs="仿宋"/>
          <w:color w:val="auto"/>
        </w:rPr>
      </w:pPr>
      <w:r>
        <w:rPr>
          <w:rFonts w:ascii="仿宋" w:hAnsi="仿宋" w:eastAsia="仿宋" w:cs="仿宋"/>
          <w:color w:val="auto"/>
        </w:rPr>
        <w:t>1.3</w:t>
      </w:r>
      <w:bookmarkEnd w:id="5"/>
      <w:r>
        <w:rPr>
          <w:rFonts w:ascii="仿宋" w:hAnsi="仿宋" w:eastAsia="仿宋" w:cs="仿宋"/>
          <w:color w:val="auto"/>
        </w:rPr>
        <w:t>教师团队建设</w:t>
      </w:r>
    </w:p>
    <w:p w14:paraId="079CEE90">
      <w:pPr>
        <w:adjustRightInd w:val="0"/>
        <w:snapToGrid w:val="0"/>
        <w:spacing w:line="560" w:lineRule="exact"/>
        <w:ind w:firstLine="640" w:firstLineChars="200"/>
        <w:rPr>
          <w:rFonts w:hint="default" w:ascii="仿宋" w:hAnsi="仿宋" w:eastAsia="仿宋" w:cs="仿宋"/>
          <w:color w:val="auto"/>
          <w:szCs w:val="32"/>
        </w:rPr>
      </w:pPr>
      <w:bookmarkStart w:id="6" w:name="_Toc32104"/>
      <w:r>
        <w:rPr>
          <w:rFonts w:ascii="仿宋" w:hAnsi="仿宋" w:eastAsia="仿宋" w:cs="仿宋"/>
          <w:color w:val="auto"/>
          <w:szCs w:val="32"/>
        </w:rPr>
        <w:t>教师是立教之本，兴教之源。我校全面贯彻党的教育方针，高度重视教师队伍建设，致力于打造一支爱岗敬业、人格高尚、潜心教育的教师队伍和教练员队伍，为教育事业的可持续发展提供有力保障。</w:t>
      </w:r>
    </w:p>
    <w:p w14:paraId="677DF912">
      <w:pPr>
        <w:adjustRightInd w:val="0"/>
        <w:snapToGrid w:val="0"/>
        <w:spacing w:line="560" w:lineRule="exact"/>
        <w:ind w:firstLine="640" w:firstLineChars="200"/>
        <w:rPr>
          <w:rFonts w:hint="default" w:ascii="仿宋" w:hAnsi="仿宋" w:eastAsia="仿宋" w:cs="仿宋"/>
          <w:color w:val="auto"/>
          <w:szCs w:val="32"/>
        </w:rPr>
      </w:pPr>
      <w:r>
        <w:rPr>
          <w:rFonts w:ascii="仿宋" w:hAnsi="仿宋" w:eastAsia="仿宋" w:cs="仿宋"/>
          <w:color w:val="auto"/>
          <w:szCs w:val="32"/>
        </w:rPr>
        <w:t>（1）教师队伍建设</w:t>
      </w:r>
    </w:p>
    <w:p w14:paraId="14B28CA3">
      <w:pPr>
        <w:adjustRightInd w:val="0"/>
        <w:snapToGrid w:val="0"/>
        <w:spacing w:line="560" w:lineRule="exact"/>
        <w:ind w:firstLine="640" w:firstLineChars="200"/>
        <w:rPr>
          <w:rFonts w:hint="default" w:ascii="仿宋" w:hAnsi="仿宋" w:eastAsia="仿宋" w:cs="仿宋"/>
          <w:color w:val="auto"/>
          <w:szCs w:val="32"/>
        </w:rPr>
      </w:pPr>
      <w:r>
        <w:rPr>
          <w:rFonts w:ascii="仿宋" w:hAnsi="仿宋" w:eastAsia="仿宋" w:cs="仿宋"/>
          <w:color w:val="auto"/>
          <w:szCs w:val="32"/>
        </w:rPr>
        <w:t>我校紧抓师德师风建设，把提高教师思想政治素质和职业道德水平摆在首位，引导老师们做一个有理想信念，有道德情操，有扎实学识，有仁爱之心的“四有”好老师。同时坚持对青年教师的培养，积极组织青年教师参加各级各类培训，不断提升实践教学能力，为打造教师教学创新团队打下基础。</w:t>
      </w:r>
    </w:p>
    <w:p w14:paraId="7D9231ED">
      <w:pPr>
        <w:adjustRightInd w:val="0"/>
        <w:snapToGrid w:val="0"/>
        <w:spacing w:line="560" w:lineRule="exact"/>
        <w:ind w:firstLine="640" w:firstLineChars="200"/>
        <w:rPr>
          <w:rFonts w:hint="default" w:ascii="仿宋" w:hAnsi="仿宋" w:eastAsia="仿宋" w:cs="仿宋"/>
          <w:color w:val="auto"/>
          <w:szCs w:val="32"/>
        </w:rPr>
      </w:pPr>
      <w:r>
        <w:rPr>
          <w:rFonts w:ascii="仿宋" w:hAnsi="仿宋" w:eastAsia="仿宋" w:cs="仿宋"/>
          <w:color w:val="auto"/>
          <w:szCs w:val="32"/>
        </w:rPr>
        <w:t>（2）教练员队伍建设</w:t>
      </w:r>
    </w:p>
    <w:p w14:paraId="789DDF78">
      <w:pPr>
        <w:adjustRightInd w:val="0"/>
        <w:snapToGrid w:val="0"/>
        <w:spacing w:line="560" w:lineRule="exact"/>
        <w:ind w:firstLine="640" w:firstLineChars="200"/>
        <w:rPr>
          <w:rFonts w:hint="default" w:ascii="仿宋" w:hAnsi="仿宋" w:eastAsia="仿宋" w:cs="仿宋"/>
          <w:color w:val="auto"/>
          <w:szCs w:val="32"/>
        </w:rPr>
      </w:pPr>
      <w:r>
        <w:rPr>
          <w:rFonts w:ascii="仿宋" w:hAnsi="仿宋" w:eastAsia="仿宋" w:cs="仿宋"/>
          <w:color w:val="auto"/>
          <w:szCs w:val="32"/>
        </w:rPr>
        <w:t>教练员队伍建设是竞技体育的核心人才支撑。首先，我校力求优化教练员队伍，拓宽选拔来源，择优录取退役优秀运动员，积极引入高水平教练员，不断优化队伍结构。其次，拓宽培养平台，不断完善教练员培训体系，积极输送优秀教练员外出培训学习，鼓励优秀年轻教练员到省队跟队锻炼，加强对教练员业务培训和知识更新，不断提升教练员队伍素质，助力后备人才培养。在市体育局领导高度重视和领导下，在学校领导统一部署和指挥协调下，各项目教练员积极备战，周密部署，认真组织开展各项训练工作，经过不懈努力，2024年福建省锦标赛情况我校组队参加的20个项目共获得15枚金牌，8枚银牌，6枚铜牌。今年我校运动员在全国性赛事中也取得了优异的成绩，在参加14场全国以上比赛中，共获得 11个全国冠军、3个第二名、7个第三名的好成绩。</w:t>
      </w:r>
    </w:p>
    <w:p w14:paraId="2A45FC22">
      <w:pPr>
        <w:adjustRightInd w:val="0"/>
        <w:snapToGrid w:val="0"/>
        <w:spacing w:line="560" w:lineRule="exact"/>
        <w:ind w:firstLine="640" w:firstLineChars="200"/>
        <w:rPr>
          <w:rFonts w:hint="default" w:ascii="仿宋" w:hAnsi="仿宋" w:eastAsia="仿宋" w:cs="仿宋"/>
          <w:color w:val="auto"/>
          <w:szCs w:val="32"/>
        </w:rPr>
      </w:pPr>
      <w:r>
        <w:rPr>
          <w:rFonts w:ascii="仿宋" w:hAnsi="仿宋" w:eastAsia="仿宋" w:cs="仿宋"/>
          <w:color w:val="auto"/>
          <w:szCs w:val="32"/>
        </w:rPr>
        <w:t>（3）班主任队伍建设</w:t>
      </w:r>
    </w:p>
    <w:p w14:paraId="21787FB7">
      <w:pPr>
        <w:adjustRightInd w:val="0"/>
        <w:snapToGrid w:val="0"/>
        <w:spacing w:line="560" w:lineRule="exact"/>
        <w:ind w:firstLine="672" w:firstLineChars="200"/>
        <w:rPr>
          <w:rFonts w:hint="eastAsia" w:ascii="仿宋" w:hAnsi="仿宋" w:eastAsia="仿宋" w:cs="仿宋"/>
          <w:color w:val="auto"/>
          <w:sz w:val="32"/>
          <w:szCs w:val="32"/>
        </w:rPr>
      </w:pPr>
      <w:r>
        <w:rPr>
          <w:rFonts w:hint="eastAsia" w:ascii="仿宋" w:hAnsi="仿宋" w:eastAsia="仿宋" w:cs="仿宋"/>
          <w:i w:val="0"/>
          <w:caps w:val="0"/>
          <w:color w:val="auto"/>
          <w:spacing w:val="8"/>
          <w:sz w:val="32"/>
          <w:szCs w:val="32"/>
          <w:shd w:val="clear" w:fill="FFFFFF"/>
        </w:rPr>
        <w:t>学校高度重视班主任队伍建设，</w:t>
      </w:r>
      <w:r>
        <w:rPr>
          <w:rFonts w:hint="eastAsia" w:ascii="仿宋" w:hAnsi="仿宋" w:eastAsia="仿宋" w:cs="仿宋"/>
          <w:i w:val="0"/>
          <w:caps w:val="0"/>
          <w:color w:val="auto"/>
          <w:spacing w:val="8"/>
          <w:sz w:val="32"/>
          <w:szCs w:val="32"/>
          <w:shd w:val="clear" w:fill="FFFFFF"/>
          <w:lang w:eastAsia="zh-CN"/>
        </w:rPr>
        <w:t>定期开展德育</w:t>
      </w:r>
      <w:r>
        <w:rPr>
          <w:rFonts w:hint="eastAsia" w:ascii="仿宋" w:hAnsi="仿宋" w:eastAsia="仿宋" w:cs="仿宋"/>
          <w:i w:val="0"/>
          <w:caps w:val="0"/>
          <w:color w:val="auto"/>
          <w:spacing w:val="8"/>
          <w:sz w:val="32"/>
          <w:szCs w:val="32"/>
          <w:shd w:val="clear" w:fill="FFFFFF"/>
        </w:rPr>
        <w:t>专题</w:t>
      </w:r>
      <w:r>
        <w:rPr>
          <w:rFonts w:hint="eastAsia" w:ascii="仿宋" w:hAnsi="仿宋" w:eastAsia="仿宋" w:cs="仿宋"/>
          <w:i w:val="0"/>
          <w:caps w:val="0"/>
          <w:color w:val="auto"/>
          <w:spacing w:val="8"/>
          <w:sz w:val="32"/>
          <w:szCs w:val="32"/>
          <w:shd w:val="clear" w:fill="FFFFFF"/>
          <w:lang w:eastAsia="zh-CN"/>
        </w:rPr>
        <w:t>会议</w:t>
      </w:r>
      <w:r>
        <w:rPr>
          <w:rFonts w:hint="eastAsia" w:ascii="仿宋" w:hAnsi="仿宋" w:eastAsia="仿宋" w:cs="仿宋"/>
          <w:i w:val="0"/>
          <w:caps w:val="0"/>
          <w:color w:val="auto"/>
          <w:spacing w:val="8"/>
          <w:sz w:val="32"/>
          <w:szCs w:val="32"/>
          <w:shd w:val="clear" w:fill="FFFFFF"/>
        </w:rPr>
        <w:t>、</w:t>
      </w:r>
      <w:r>
        <w:rPr>
          <w:rFonts w:hint="eastAsia" w:ascii="仿宋" w:hAnsi="仿宋" w:eastAsia="仿宋" w:cs="仿宋"/>
          <w:i w:val="0"/>
          <w:caps w:val="0"/>
          <w:color w:val="auto"/>
          <w:spacing w:val="8"/>
          <w:sz w:val="32"/>
          <w:szCs w:val="32"/>
          <w:shd w:val="clear" w:fill="FFFFFF"/>
          <w:lang w:eastAsia="zh-CN"/>
        </w:rPr>
        <w:t>德育教研</w:t>
      </w:r>
      <w:r>
        <w:rPr>
          <w:rFonts w:hint="eastAsia" w:ascii="仿宋" w:hAnsi="仿宋" w:eastAsia="仿宋" w:cs="仿宋"/>
          <w:i w:val="0"/>
          <w:caps w:val="0"/>
          <w:color w:val="auto"/>
          <w:spacing w:val="8"/>
          <w:sz w:val="32"/>
          <w:szCs w:val="32"/>
          <w:shd w:val="clear" w:fill="FFFFFF"/>
        </w:rPr>
        <w:t>培训、强化考核、选树</w:t>
      </w:r>
      <w:r>
        <w:rPr>
          <w:rFonts w:hint="eastAsia" w:ascii="仿宋" w:hAnsi="仿宋" w:eastAsia="仿宋" w:cs="仿宋"/>
          <w:i w:val="0"/>
          <w:caps w:val="0"/>
          <w:color w:val="auto"/>
          <w:spacing w:val="8"/>
          <w:sz w:val="32"/>
          <w:szCs w:val="32"/>
          <w:shd w:val="clear" w:fill="FFFFFF"/>
          <w:lang w:eastAsia="zh-CN"/>
        </w:rPr>
        <w:t>典型</w:t>
      </w:r>
      <w:r>
        <w:rPr>
          <w:rFonts w:hint="eastAsia" w:ascii="仿宋" w:hAnsi="仿宋" w:eastAsia="仿宋" w:cs="仿宋"/>
          <w:i w:val="0"/>
          <w:caps w:val="0"/>
          <w:color w:val="auto"/>
          <w:spacing w:val="8"/>
          <w:sz w:val="32"/>
          <w:szCs w:val="32"/>
          <w:shd w:val="clear" w:fill="FFFFFF"/>
        </w:rPr>
        <w:t>，引导班主任履职尽责，做细做实班级管理工作。</w:t>
      </w:r>
      <w:r>
        <w:rPr>
          <w:rFonts w:hint="eastAsia" w:ascii="仿宋" w:hAnsi="仿宋" w:eastAsia="仿宋" w:cs="仿宋"/>
          <w:i w:val="0"/>
          <w:caps w:val="0"/>
          <w:color w:val="auto"/>
          <w:spacing w:val="15"/>
          <w:sz w:val="32"/>
          <w:szCs w:val="32"/>
          <w:shd w:val="clear" w:fill="FFFFFF"/>
          <w:lang w:eastAsia="zh-CN"/>
        </w:rPr>
        <w:t>学校尤其重视</w:t>
      </w:r>
      <w:r>
        <w:rPr>
          <w:rFonts w:hint="eastAsia" w:ascii="仿宋" w:hAnsi="仿宋" w:eastAsia="仿宋" w:cs="仿宋"/>
          <w:i w:val="0"/>
          <w:caps w:val="0"/>
          <w:color w:val="auto"/>
          <w:spacing w:val="0"/>
          <w:sz w:val="32"/>
          <w:szCs w:val="32"/>
        </w:rPr>
        <w:t>师德师风在</w:t>
      </w:r>
      <w:r>
        <w:rPr>
          <w:rFonts w:hint="eastAsia" w:ascii="仿宋" w:hAnsi="仿宋" w:eastAsia="仿宋" w:cs="仿宋"/>
          <w:i w:val="0"/>
          <w:caps w:val="0"/>
          <w:color w:val="auto"/>
          <w:spacing w:val="0"/>
          <w:sz w:val="32"/>
          <w:szCs w:val="32"/>
          <w:lang w:eastAsia="zh-CN"/>
        </w:rPr>
        <w:t>班主任</w:t>
      </w:r>
      <w:r>
        <w:rPr>
          <w:rFonts w:hint="eastAsia" w:ascii="仿宋" w:hAnsi="仿宋" w:eastAsia="仿宋" w:cs="仿宋"/>
          <w:i w:val="0"/>
          <w:caps w:val="0"/>
          <w:color w:val="auto"/>
          <w:spacing w:val="0"/>
          <w:sz w:val="32"/>
          <w:szCs w:val="32"/>
        </w:rPr>
        <w:t>队伍建设方面的重要作用，</w:t>
      </w:r>
      <w:r>
        <w:rPr>
          <w:rFonts w:hint="eastAsia" w:ascii="仿宋" w:hAnsi="仿宋" w:eastAsia="仿宋" w:cs="仿宋"/>
          <w:i w:val="0"/>
          <w:caps w:val="0"/>
          <w:color w:val="auto"/>
          <w:spacing w:val="15"/>
          <w:sz w:val="32"/>
          <w:szCs w:val="32"/>
          <w:shd w:val="clear" w:fill="FFFFFF"/>
        </w:rPr>
        <w:t>带领班主任深入学习了习近平总书记在全国教育大会上的重要讲话精神和全国教育大会精神，勉励班主任牢牢把握思政工作“生命线”，</w:t>
      </w:r>
      <w:r>
        <w:rPr>
          <w:rFonts w:hint="eastAsia" w:ascii="仿宋" w:hAnsi="仿宋" w:eastAsia="仿宋" w:cs="仿宋"/>
          <w:i w:val="0"/>
          <w:caps w:val="0"/>
          <w:color w:val="auto"/>
          <w:spacing w:val="0"/>
          <w:sz w:val="32"/>
          <w:szCs w:val="32"/>
        </w:rPr>
        <w:t>增强立德树人的责任感和使命感</w:t>
      </w:r>
      <w:r>
        <w:rPr>
          <w:rFonts w:hint="eastAsia" w:ascii="仿宋" w:hAnsi="仿宋" w:eastAsia="仿宋" w:cs="仿宋"/>
          <w:i w:val="0"/>
          <w:caps w:val="0"/>
          <w:color w:val="auto"/>
          <w:spacing w:val="15"/>
          <w:sz w:val="32"/>
          <w:szCs w:val="32"/>
          <w:shd w:val="clear" w:fill="FFFFFF"/>
        </w:rPr>
        <w:t>。</w:t>
      </w:r>
      <w:r>
        <w:rPr>
          <w:rFonts w:hint="eastAsia" w:ascii="仿宋" w:hAnsi="仿宋" w:eastAsia="仿宋" w:cs="仿宋"/>
          <w:color w:val="auto"/>
          <w:sz w:val="32"/>
          <w:szCs w:val="32"/>
        </w:rPr>
        <w:t>目前我校中职部有6个班级，共设有6名班主任，班主任教研力量和竞赛团队组建方面相对薄弱，为了更好地开展班主任</w:t>
      </w:r>
      <w:r>
        <w:rPr>
          <w:rFonts w:hint="eastAsia" w:ascii="仿宋" w:hAnsi="仿宋" w:eastAsia="仿宋" w:cs="仿宋"/>
          <w:color w:val="auto"/>
          <w:sz w:val="32"/>
          <w:szCs w:val="32"/>
          <w:lang w:eastAsia="zh-CN"/>
        </w:rPr>
        <w:t>研讨交流</w:t>
      </w:r>
      <w:r>
        <w:rPr>
          <w:rFonts w:hint="eastAsia" w:ascii="仿宋" w:hAnsi="仿宋" w:eastAsia="仿宋" w:cs="仿宋"/>
          <w:color w:val="auto"/>
          <w:sz w:val="32"/>
          <w:szCs w:val="32"/>
        </w:rPr>
        <w:t>工作</w:t>
      </w:r>
      <w:r>
        <w:rPr>
          <w:rFonts w:hint="eastAsia" w:ascii="仿宋" w:hAnsi="仿宋" w:eastAsia="仿宋" w:cs="仿宋"/>
          <w:color w:val="auto"/>
          <w:sz w:val="32"/>
          <w:szCs w:val="32"/>
          <w:lang w:eastAsia="zh-CN"/>
        </w:rPr>
        <w:t>，促进共同进步</w:t>
      </w:r>
      <w:r>
        <w:rPr>
          <w:rFonts w:hint="eastAsia" w:ascii="仿宋" w:hAnsi="仿宋" w:eastAsia="仿宋" w:cs="仿宋"/>
          <w:color w:val="auto"/>
          <w:sz w:val="32"/>
          <w:szCs w:val="32"/>
        </w:rPr>
        <w:t>，我校根据实际情况，</w:t>
      </w:r>
      <w:r>
        <w:rPr>
          <w:rFonts w:hint="eastAsia" w:ascii="仿宋" w:hAnsi="仿宋" w:eastAsia="仿宋" w:cs="仿宋"/>
          <w:color w:val="auto"/>
          <w:sz w:val="32"/>
          <w:szCs w:val="32"/>
          <w:lang w:eastAsia="zh-CN"/>
        </w:rPr>
        <w:t>把小学部、初中部、中职部全体班主任联合起来，开展大年段的班主任集中教研活动，定期</w:t>
      </w:r>
      <w:r>
        <w:rPr>
          <w:rFonts w:hint="eastAsia" w:ascii="仿宋" w:hAnsi="仿宋" w:eastAsia="仿宋" w:cs="仿宋"/>
          <w:i w:val="0"/>
          <w:caps w:val="0"/>
          <w:color w:val="auto"/>
          <w:spacing w:val="8"/>
          <w:sz w:val="32"/>
          <w:szCs w:val="32"/>
          <w:shd w:val="clear" w:fill="FFFFFF"/>
          <w:lang w:eastAsia="zh-CN"/>
        </w:rPr>
        <w:t>评选</w:t>
      </w:r>
      <w:r>
        <w:rPr>
          <w:rFonts w:hint="eastAsia" w:ascii="仿宋" w:hAnsi="仿宋" w:eastAsia="仿宋" w:cs="仿宋"/>
          <w:i w:val="0"/>
          <w:caps w:val="0"/>
          <w:color w:val="auto"/>
          <w:spacing w:val="8"/>
          <w:sz w:val="32"/>
          <w:szCs w:val="32"/>
          <w:shd w:val="clear" w:fill="FFFFFF"/>
        </w:rPr>
        <w:t>“优秀班主任”</w:t>
      </w:r>
      <w:r>
        <w:rPr>
          <w:rFonts w:hint="eastAsia" w:ascii="仿宋" w:hAnsi="仿宋" w:eastAsia="仿宋" w:cs="仿宋"/>
          <w:i w:val="0"/>
          <w:caps w:val="0"/>
          <w:color w:val="auto"/>
          <w:spacing w:val="8"/>
          <w:sz w:val="32"/>
          <w:szCs w:val="32"/>
          <w:shd w:val="clear" w:fill="FFFFFF"/>
          <w:lang w:eastAsia="zh-CN"/>
        </w:rPr>
        <w:t>树立</w:t>
      </w:r>
      <w:r>
        <w:rPr>
          <w:rFonts w:hint="eastAsia" w:ascii="仿宋" w:hAnsi="仿宋" w:eastAsia="仿宋" w:cs="仿宋"/>
          <w:i w:val="0"/>
          <w:caps w:val="0"/>
          <w:color w:val="auto"/>
          <w:spacing w:val="8"/>
          <w:sz w:val="32"/>
          <w:szCs w:val="32"/>
          <w:shd w:val="clear" w:fill="FFFFFF"/>
        </w:rPr>
        <w:t>先进典型，</w:t>
      </w:r>
      <w:r>
        <w:rPr>
          <w:rFonts w:hint="eastAsia" w:ascii="仿宋" w:hAnsi="仿宋" w:eastAsia="仿宋" w:cs="仿宋"/>
          <w:color w:val="auto"/>
          <w:sz w:val="32"/>
          <w:szCs w:val="32"/>
          <w:lang w:eastAsia="zh-CN"/>
        </w:rPr>
        <w:t>并注重优秀班主任的引领示范作用，</w:t>
      </w:r>
      <w:r>
        <w:rPr>
          <w:rFonts w:hint="eastAsia" w:ascii="仿宋" w:hAnsi="仿宋" w:eastAsia="仿宋" w:cs="仿宋"/>
          <w:i w:val="0"/>
          <w:caps w:val="0"/>
          <w:color w:val="auto"/>
          <w:spacing w:val="8"/>
          <w:sz w:val="32"/>
          <w:szCs w:val="32"/>
          <w:shd w:val="clear" w:fill="FFFFFF"/>
        </w:rPr>
        <w:t>带动全校班主任</w:t>
      </w:r>
      <w:r>
        <w:rPr>
          <w:rFonts w:hint="eastAsia" w:ascii="仿宋" w:hAnsi="仿宋" w:eastAsia="仿宋" w:cs="仿宋"/>
          <w:i w:val="0"/>
          <w:caps w:val="0"/>
          <w:color w:val="auto"/>
          <w:spacing w:val="8"/>
          <w:sz w:val="32"/>
          <w:szCs w:val="32"/>
          <w:shd w:val="clear" w:fill="FFFFFF"/>
          <w:lang w:eastAsia="zh-CN"/>
        </w:rPr>
        <w:t>爱岗敬业</w:t>
      </w:r>
      <w:r>
        <w:rPr>
          <w:rFonts w:hint="eastAsia" w:ascii="仿宋" w:hAnsi="仿宋" w:eastAsia="仿宋" w:cs="仿宋"/>
          <w:i w:val="0"/>
          <w:caps w:val="0"/>
          <w:color w:val="auto"/>
          <w:spacing w:val="8"/>
          <w:sz w:val="32"/>
          <w:szCs w:val="32"/>
          <w:shd w:val="clear" w:fill="FFFFFF"/>
        </w:rPr>
        <w:t>、</w:t>
      </w:r>
      <w:r>
        <w:rPr>
          <w:rFonts w:hint="eastAsia" w:ascii="仿宋" w:hAnsi="仿宋" w:eastAsia="仿宋" w:cs="仿宋"/>
          <w:i w:val="0"/>
          <w:caps w:val="0"/>
          <w:color w:val="auto"/>
          <w:spacing w:val="8"/>
          <w:sz w:val="32"/>
          <w:szCs w:val="32"/>
          <w:shd w:val="clear" w:fill="FFFFFF"/>
          <w:lang w:eastAsia="zh-CN"/>
        </w:rPr>
        <w:t>立德树人</w:t>
      </w:r>
      <w:r>
        <w:rPr>
          <w:rFonts w:hint="eastAsia" w:ascii="仿宋" w:hAnsi="仿宋" w:eastAsia="仿宋" w:cs="仿宋"/>
          <w:i w:val="0"/>
          <w:caps w:val="0"/>
          <w:color w:val="auto"/>
          <w:spacing w:val="8"/>
          <w:sz w:val="32"/>
          <w:szCs w:val="32"/>
          <w:shd w:val="clear" w:fill="FFFFFF"/>
        </w:rPr>
        <w:t>。</w:t>
      </w:r>
      <w:r>
        <w:rPr>
          <w:rFonts w:hint="eastAsia" w:ascii="仿宋" w:hAnsi="仿宋" w:eastAsia="仿宋" w:cs="仿宋"/>
          <w:i w:val="0"/>
          <w:caps w:val="0"/>
          <w:color w:val="auto"/>
          <w:spacing w:val="8"/>
          <w:sz w:val="32"/>
          <w:szCs w:val="32"/>
          <w:shd w:val="clear" w:fill="FFFFFF"/>
          <w:lang w:eastAsia="zh-CN"/>
        </w:rPr>
        <w:t>全体班主任</w:t>
      </w:r>
      <w:r>
        <w:rPr>
          <w:rFonts w:hint="eastAsia" w:ascii="仿宋" w:hAnsi="仿宋" w:eastAsia="仿宋" w:cs="仿宋"/>
          <w:color w:val="auto"/>
          <w:sz w:val="32"/>
          <w:szCs w:val="32"/>
        </w:rPr>
        <w:t>形成了一股</w:t>
      </w:r>
      <w:r>
        <w:rPr>
          <w:rFonts w:hint="eastAsia" w:ascii="仿宋" w:hAnsi="仿宋" w:eastAsia="仿宋" w:cs="仿宋"/>
          <w:color w:val="auto"/>
          <w:sz w:val="32"/>
          <w:szCs w:val="32"/>
          <w:lang w:eastAsia="zh-CN"/>
        </w:rPr>
        <w:t>交流研讨、</w:t>
      </w:r>
      <w:r>
        <w:rPr>
          <w:rFonts w:hint="eastAsia" w:ascii="仿宋" w:hAnsi="仿宋" w:eastAsia="仿宋" w:cs="仿宋"/>
          <w:color w:val="auto"/>
          <w:sz w:val="32"/>
          <w:szCs w:val="32"/>
        </w:rPr>
        <w:t>互帮互学、共同</w:t>
      </w:r>
      <w:r>
        <w:rPr>
          <w:rFonts w:hint="eastAsia" w:ascii="仿宋" w:hAnsi="仿宋" w:eastAsia="仿宋" w:cs="仿宋"/>
          <w:color w:val="auto"/>
          <w:sz w:val="32"/>
          <w:szCs w:val="32"/>
          <w:lang w:eastAsia="zh-CN"/>
        </w:rPr>
        <w:t>进步</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力量</w:t>
      </w:r>
      <w:r>
        <w:rPr>
          <w:rFonts w:hint="eastAsia" w:ascii="仿宋" w:hAnsi="仿宋" w:eastAsia="仿宋" w:cs="仿宋"/>
          <w:color w:val="auto"/>
          <w:sz w:val="32"/>
          <w:szCs w:val="32"/>
        </w:rPr>
        <w:t>。</w:t>
      </w:r>
    </w:p>
    <w:p w14:paraId="45DCC84F">
      <w:pPr>
        <w:pStyle w:val="4"/>
        <w:keepNext w:val="0"/>
        <w:keepLines w:val="0"/>
        <w:adjustRightInd w:val="0"/>
        <w:snapToGrid w:val="0"/>
        <w:spacing w:line="560" w:lineRule="exact"/>
        <w:ind w:firstLine="640" w:firstLineChars="200"/>
        <w:rPr>
          <w:rFonts w:hint="default" w:ascii="仿宋" w:hAnsi="仿宋" w:eastAsia="仿宋" w:cs="仿宋"/>
          <w:color w:val="auto"/>
        </w:rPr>
      </w:pPr>
      <w:r>
        <w:rPr>
          <w:rFonts w:ascii="仿宋" w:hAnsi="仿宋" w:eastAsia="仿宋" w:cs="仿宋"/>
          <w:color w:val="auto"/>
        </w:rPr>
        <w:t>1.4升学、就业质量</w:t>
      </w:r>
      <w:bookmarkEnd w:id="6"/>
    </w:p>
    <w:p w14:paraId="7738A0AC">
      <w:pPr>
        <w:adjustRightInd w:val="0"/>
        <w:snapToGrid w:val="0"/>
        <w:spacing w:line="560" w:lineRule="exact"/>
        <w:ind w:firstLine="640" w:firstLineChars="200"/>
        <w:rPr>
          <w:rFonts w:hint="eastAsia" w:ascii="仿宋" w:hAnsi="仿宋" w:eastAsia="仿宋" w:cs="仿宋"/>
          <w:color w:val="auto"/>
          <w:szCs w:val="32"/>
        </w:rPr>
      </w:pPr>
      <w:r>
        <w:rPr>
          <w:rFonts w:hint="eastAsia" w:ascii="仿宋" w:hAnsi="仿宋" w:eastAsia="仿宋" w:cs="仿宋"/>
          <w:color w:val="auto"/>
          <w:szCs w:val="32"/>
        </w:rPr>
        <w:t>学校现有全日制在校生405人，年招生规模稳定在100人以上，生源基本是各地少体校学生或接受过专业训练的少年运动员，均需通过专业考试合格后方予以录取。学生在校接受文化教育外，还必须接受正规的专项训练并代表福州市参加各种级别体育赛事。</w:t>
      </w:r>
    </w:p>
    <w:p w14:paraId="0645AA85">
      <w:pPr>
        <w:adjustRightInd w:val="0"/>
        <w:snapToGrid w:val="0"/>
        <w:spacing w:line="560" w:lineRule="exact"/>
        <w:ind w:firstLine="640" w:firstLineChars="200"/>
        <w:rPr>
          <w:rFonts w:hint="eastAsia" w:ascii="仿宋" w:hAnsi="仿宋" w:eastAsia="仿宋" w:cs="仿宋"/>
          <w:color w:val="auto"/>
          <w:szCs w:val="32"/>
        </w:rPr>
      </w:pPr>
      <w:r>
        <w:rPr>
          <w:rFonts w:hint="eastAsia" w:ascii="仿宋" w:hAnsi="仿宋" w:eastAsia="仿宋" w:cs="仿宋"/>
          <w:color w:val="auto"/>
          <w:szCs w:val="32"/>
        </w:rPr>
        <w:t>2023-2024学年，我校24届毕业生就业率为95.39%，其中32人被本科院校录取，13人被高职院校录取，</w:t>
      </w:r>
      <w:r>
        <w:rPr>
          <w:rFonts w:hint="eastAsia" w:ascii="仿宋" w:hAnsi="仿宋" w:eastAsia="仿宋" w:cs="仿宋"/>
          <w:color w:val="auto"/>
          <w:szCs w:val="32"/>
          <w:lang w:val="en-US" w:eastAsia="zh-CN"/>
        </w:rPr>
        <w:t>15</w:t>
      </w:r>
      <w:r>
        <w:rPr>
          <w:rFonts w:hint="eastAsia" w:ascii="仿宋" w:hAnsi="仿宋" w:eastAsia="仿宋" w:cs="仿宋"/>
          <w:color w:val="auto"/>
          <w:szCs w:val="32"/>
        </w:rPr>
        <w:t>人体育成绩优异的学生，输送到高水平专业运动队训练，其余学生毕业后从事与体育相关的工作。</w:t>
      </w:r>
    </w:p>
    <w:p w14:paraId="65282944">
      <w:pPr>
        <w:adjustRightInd w:val="0"/>
        <w:snapToGrid w:val="0"/>
        <w:spacing w:line="560" w:lineRule="exact"/>
        <w:ind w:firstLine="640" w:firstLineChars="200"/>
        <w:jc w:val="center"/>
        <w:rPr>
          <w:rFonts w:hint="default" w:ascii="仿宋" w:hAnsi="仿宋" w:eastAsia="仿宋" w:cs="仿宋"/>
          <w:color w:val="auto"/>
          <w:szCs w:val="32"/>
        </w:rPr>
      </w:pPr>
      <w:r>
        <w:rPr>
          <w:rFonts w:ascii="仿宋" w:hAnsi="仿宋" w:eastAsia="仿宋" w:cs="仿宋"/>
          <w:color w:val="auto"/>
          <w:szCs w:val="32"/>
        </w:rPr>
        <w:t xml:space="preserve">表 </w:t>
      </w:r>
      <w:r>
        <w:rPr>
          <w:rFonts w:ascii="仿宋" w:hAnsi="仿宋" w:eastAsia="仿宋" w:cs="仿宋"/>
          <w:color w:val="auto"/>
          <w:szCs w:val="32"/>
        </w:rPr>
        <w:fldChar w:fldCharType="begin"/>
      </w:r>
      <w:r>
        <w:rPr>
          <w:rFonts w:ascii="仿宋" w:hAnsi="仿宋" w:eastAsia="仿宋" w:cs="仿宋"/>
          <w:color w:val="auto"/>
          <w:szCs w:val="32"/>
        </w:rPr>
        <w:instrText xml:space="preserve"> SEQ 表 \* ARABIC </w:instrText>
      </w:r>
      <w:r>
        <w:rPr>
          <w:rFonts w:ascii="仿宋" w:hAnsi="仿宋" w:eastAsia="仿宋" w:cs="仿宋"/>
          <w:color w:val="auto"/>
          <w:szCs w:val="32"/>
        </w:rPr>
        <w:fldChar w:fldCharType="separate"/>
      </w:r>
      <w:r>
        <w:rPr>
          <w:rFonts w:hint="default" w:ascii="仿宋" w:hAnsi="仿宋" w:eastAsia="仿宋" w:cs="仿宋"/>
          <w:color w:val="auto"/>
          <w:szCs w:val="32"/>
        </w:rPr>
        <w:t>1</w:t>
      </w:r>
      <w:r>
        <w:rPr>
          <w:rFonts w:ascii="仿宋" w:hAnsi="仿宋" w:eastAsia="仿宋" w:cs="仿宋"/>
          <w:color w:val="auto"/>
          <w:szCs w:val="32"/>
        </w:rPr>
        <w:fldChar w:fldCharType="end"/>
      </w:r>
      <w:bookmarkStart w:id="7" w:name="_Toc3909"/>
      <w:bookmarkStart w:id="8" w:name="_Toc13079"/>
      <w:r>
        <w:rPr>
          <w:rFonts w:ascii="仿宋" w:hAnsi="仿宋" w:eastAsia="仿宋" w:cs="仿宋"/>
          <w:color w:val="auto"/>
          <w:szCs w:val="32"/>
        </w:rPr>
        <w:t>学生就业数据一览表</w:t>
      </w:r>
      <w:bookmarkEnd w:id="7"/>
      <w:bookmarkEnd w:id="8"/>
    </w:p>
    <w:tbl>
      <w:tblPr>
        <w:tblStyle w:val="17"/>
        <w:tblW w:w="8550" w:type="dxa"/>
        <w:tblInd w:w="93" w:type="dxa"/>
        <w:tblLayout w:type="fixed"/>
        <w:tblCellMar>
          <w:top w:w="0" w:type="dxa"/>
          <w:left w:w="108" w:type="dxa"/>
          <w:bottom w:w="0" w:type="dxa"/>
          <w:right w:w="108" w:type="dxa"/>
        </w:tblCellMar>
      </w:tblPr>
      <w:tblGrid>
        <w:gridCol w:w="675"/>
        <w:gridCol w:w="4678"/>
        <w:gridCol w:w="1050"/>
        <w:gridCol w:w="2147"/>
      </w:tblGrid>
      <w:tr w14:paraId="03CC57B5">
        <w:tblPrEx>
          <w:tblCellMar>
            <w:top w:w="0" w:type="dxa"/>
            <w:left w:w="108" w:type="dxa"/>
            <w:bottom w:w="0" w:type="dxa"/>
            <w:right w:w="108" w:type="dxa"/>
          </w:tblCellMar>
        </w:tblPrEx>
        <w:trPr>
          <w:trHeight w:val="624"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AE19D7">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default" w:ascii="宋体" w:hAnsi="宋体" w:eastAsia="宋体" w:cs="宋体"/>
                <w:i w:val="0"/>
                <w:iCs w:val="0"/>
                <w:color w:val="auto"/>
                <w:kern w:val="0"/>
                <w:sz w:val="24"/>
                <w:szCs w:val="24"/>
                <w:u w:val="none"/>
                <w:lang w:val="en-US" w:eastAsia="zh-CN" w:bidi="ar"/>
              </w:rPr>
              <w:t>序号</w:t>
            </w:r>
          </w:p>
        </w:tc>
        <w:tc>
          <w:tcPr>
            <w:tcW w:w="4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32F454">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default" w:ascii="宋体" w:hAnsi="宋体" w:eastAsia="宋体" w:cs="宋体"/>
                <w:i w:val="0"/>
                <w:iCs w:val="0"/>
                <w:color w:val="auto"/>
                <w:kern w:val="0"/>
                <w:sz w:val="24"/>
                <w:szCs w:val="24"/>
                <w:u w:val="none"/>
                <w:lang w:val="en-US" w:eastAsia="zh-CN" w:bidi="ar"/>
              </w:rPr>
              <w:t>指  标</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7B2484">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default" w:ascii="宋体" w:hAnsi="宋体" w:eastAsia="宋体" w:cs="宋体"/>
                <w:i w:val="0"/>
                <w:iCs w:val="0"/>
                <w:color w:val="auto"/>
                <w:kern w:val="0"/>
                <w:sz w:val="24"/>
                <w:szCs w:val="24"/>
                <w:u w:val="none"/>
                <w:lang w:val="en-US" w:eastAsia="zh-CN" w:bidi="ar"/>
              </w:rPr>
              <w:t>单位</w:t>
            </w:r>
          </w:p>
        </w:tc>
        <w:tc>
          <w:tcPr>
            <w:tcW w:w="21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AF6E54">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2023-2024学年</w:t>
            </w:r>
          </w:p>
        </w:tc>
      </w:tr>
      <w:tr w14:paraId="4FCAD4BA">
        <w:tblPrEx>
          <w:tblCellMar>
            <w:top w:w="0" w:type="dxa"/>
            <w:left w:w="108" w:type="dxa"/>
            <w:bottom w:w="0" w:type="dxa"/>
            <w:right w:w="108" w:type="dxa"/>
          </w:tblCellMar>
        </w:tblPrEx>
        <w:trPr>
          <w:trHeight w:val="624"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AA38A">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p>
        </w:tc>
        <w:tc>
          <w:tcPr>
            <w:tcW w:w="4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D5384">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B32CC4">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p>
        </w:tc>
        <w:tc>
          <w:tcPr>
            <w:tcW w:w="2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A7CE84">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p>
        </w:tc>
      </w:tr>
      <w:tr w14:paraId="04CF9FBC">
        <w:tblPrEx>
          <w:tblCellMar>
            <w:top w:w="0" w:type="dxa"/>
            <w:left w:w="108" w:type="dxa"/>
            <w:bottom w:w="0" w:type="dxa"/>
            <w:right w:w="108" w:type="dxa"/>
          </w:tblCellMar>
        </w:tblPrEx>
        <w:trPr>
          <w:trHeight w:val="499"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268AB">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default" w:ascii="宋体" w:hAnsi="宋体" w:eastAsia="宋体" w:cs="宋体"/>
                <w:i w:val="0"/>
                <w:iCs w:val="0"/>
                <w:color w:val="auto"/>
                <w:kern w:val="0"/>
                <w:sz w:val="24"/>
                <w:szCs w:val="24"/>
                <w:u w:val="none"/>
                <w:lang w:val="en-US" w:eastAsia="zh-CN" w:bidi="ar"/>
              </w:rPr>
              <w:t>1</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6F370">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default" w:ascii="宋体" w:hAnsi="宋体" w:eastAsia="宋体" w:cs="宋体"/>
                <w:i w:val="0"/>
                <w:iCs w:val="0"/>
                <w:color w:val="auto"/>
                <w:kern w:val="0"/>
                <w:sz w:val="24"/>
                <w:szCs w:val="24"/>
                <w:u w:val="none"/>
                <w:lang w:val="en-US" w:eastAsia="zh-CN" w:bidi="ar"/>
              </w:rPr>
              <w:t>毕业生人数*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56DBD">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default" w:ascii="宋体" w:hAnsi="宋体" w:eastAsia="宋体" w:cs="宋体"/>
                <w:i w:val="0"/>
                <w:iCs w:val="0"/>
                <w:color w:val="auto"/>
                <w:kern w:val="0"/>
                <w:sz w:val="24"/>
                <w:szCs w:val="24"/>
                <w:u w:val="none"/>
                <w:lang w:val="en-US" w:eastAsia="zh-CN" w:bidi="ar"/>
              </w:rPr>
              <w:t>人</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DFDDC">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default" w:ascii="宋体" w:hAnsi="宋体" w:eastAsia="宋体" w:cs="宋体"/>
                <w:i w:val="0"/>
                <w:iCs w:val="0"/>
                <w:color w:val="auto"/>
                <w:kern w:val="0"/>
                <w:sz w:val="24"/>
                <w:szCs w:val="24"/>
                <w:u w:val="none"/>
                <w:lang w:val="en-US" w:eastAsia="zh-CN" w:bidi="ar"/>
              </w:rPr>
              <w:t>152</w:t>
            </w:r>
          </w:p>
        </w:tc>
      </w:tr>
      <w:tr w14:paraId="5958CD88">
        <w:tblPrEx>
          <w:tblCellMar>
            <w:top w:w="0" w:type="dxa"/>
            <w:left w:w="108" w:type="dxa"/>
            <w:bottom w:w="0" w:type="dxa"/>
            <w:right w:w="108" w:type="dxa"/>
          </w:tblCellMar>
        </w:tblPrEx>
        <w:trPr>
          <w:trHeight w:val="499"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E30A5B">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default" w:ascii="宋体" w:hAnsi="宋体" w:eastAsia="宋体" w:cs="宋体"/>
                <w:i w:val="0"/>
                <w:iCs w:val="0"/>
                <w:color w:val="auto"/>
                <w:kern w:val="0"/>
                <w:sz w:val="24"/>
                <w:szCs w:val="24"/>
                <w:u w:val="none"/>
                <w:lang w:val="en-US" w:eastAsia="zh-CN" w:bidi="ar"/>
              </w:rPr>
              <w:t>2</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C4872">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default" w:ascii="宋体" w:hAnsi="宋体" w:eastAsia="宋体" w:cs="宋体"/>
                <w:i w:val="0"/>
                <w:iCs w:val="0"/>
                <w:color w:val="auto"/>
                <w:kern w:val="0"/>
                <w:sz w:val="24"/>
                <w:szCs w:val="24"/>
                <w:u w:val="none"/>
                <w:lang w:val="en-US" w:eastAsia="zh-CN" w:bidi="ar"/>
              </w:rPr>
              <w:t>毕业去向落实人数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54335">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default" w:ascii="宋体" w:hAnsi="宋体" w:eastAsia="宋体" w:cs="宋体"/>
                <w:i w:val="0"/>
                <w:iCs w:val="0"/>
                <w:color w:val="auto"/>
                <w:kern w:val="0"/>
                <w:sz w:val="24"/>
                <w:szCs w:val="24"/>
                <w:u w:val="none"/>
                <w:lang w:val="en-US" w:eastAsia="zh-CN" w:bidi="ar"/>
              </w:rPr>
              <w:t>人</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79350">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default" w:ascii="宋体" w:hAnsi="宋体" w:eastAsia="宋体" w:cs="宋体"/>
                <w:i w:val="0"/>
                <w:iCs w:val="0"/>
                <w:color w:val="auto"/>
                <w:kern w:val="0"/>
                <w:sz w:val="24"/>
                <w:szCs w:val="24"/>
                <w:u w:val="none"/>
                <w:lang w:val="en-US" w:eastAsia="zh-CN" w:bidi="ar"/>
              </w:rPr>
              <w:t>152</w:t>
            </w:r>
          </w:p>
        </w:tc>
      </w:tr>
      <w:tr w14:paraId="1E74917E">
        <w:tblPrEx>
          <w:tblCellMar>
            <w:top w:w="0" w:type="dxa"/>
            <w:left w:w="108" w:type="dxa"/>
            <w:bottom w:w="0" w:type="dxa"/>
            <w:right w:w="108" w:type="dxa"/>
          </w:tblCellMar>
        </w:tblPrEx>
        <w:trPr>
          <w:trHeight w:val="499"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E0B153">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17843">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default" w:ascii="宋体" w:hAnsi="宋体" w:eastAsia="宋体" w:cs="宋体"/>
                <w:i w:val="0"/>
                <w:iCs w:val="0"/>
                <w:color w:val="auto"/>
                <w:kern w:val="0"/>
                <w:sz w:val="24"/>
                <w:szCs w:val="24"/>
                <w:u w:val="none"/>
                <w:lang w:val="en-US" w:eastAsia="zh-CN" w:bidi="ar"/>
              </w:rPr>
              <w:t>其中：升学人数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14E62">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default" w:ascii="宋体" w:hAnsi="宋体" w:eastAsia="宋体" w:cs="宋体"/>
                <w:i w:val="0"/>
                <w:iCs w:val="0"/>
                <w:color w:val="auto"/>
                <w:kern w:val="0"/>
                <w:sz w:val="24"/>
                <w:szCs w:val="24"/>
                <w:u w:val="none"/>
                <w:lang w:val="en-US" w:eastAsia="zh-CN" w:bidi="ar"/>
              </w:rPr>
              <w:t>人</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8A210">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default" w:ascii="宋体" w:hAnsi="宋体" w:eastAsia="宋体" w:cs="宋体"/>
                <w:i w:val="0"/>
                <w:iCs w:val="0"/>
                <w:color w:val="auto"/>
                <w:kern w:val="0"/>
                <w:sz w:val="24"/>
                <w:szCs w:val="24"/>
                <w:u w:val="none"/>
                <w:lang w:val="en-US" w:eastAsia="zh-CN" w:bidi="ar"/>
              </w:rPr>
              <w:t>45</w:t>
            </w:r>
          </w:p>
        </w:tc>
      </w:tr>
      <w:tr w14:paraId="494D4D91">
        <w:tblPrEx>
          <w:tblCellMar>
            <w:top w:w="0" w:type="dxa"/>
            <w:left w:w="108" w:type="dxa"/>
            <w:bottom w:w="0" w:type="dxa"/>
            <w:right w:w="108" w:type="dxa"/>
          </w:tblCellMar>
        </w:tblPrEx>
        <w:trPr>
          <w:trHeight w:val="499"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110EFC">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C6B77">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default" w:ascii="宋体" w:hAnsi="宋体" w:eastAsia="宋体" w:cs="宋体"/>
                <w:i w:val="0"/>
                <w:iCs w:val="0"/>
                <w:color w:val="auto"/>
                <w:kern w:val="0"/>
                <w:sz w:val="24"/>
                <w:szCs w:val="24"/>
                <w:u w:val="none"/>
                <w:lang w:val="en-US" w:eastAsia="zh-CN" w:bidi="ar"/>
              </w:rPr>
              <w:t xml:space="preserve">      升入本科人数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53868">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default" w:ascii="宋体" w:hAnsi="宋体" w:eastAsia="宋体" w:cs="宋体"/>
                <w:i w:val="0"/>
                <w:iCs w:val="0"/>
                <w:color w:val="auto"/>
                <w:kern w:val="0"/>
                <w:sz w:val="24"/>
                <w:szCs w:val="24"/>
                <w:u w:val="none"/>
                <w:lang w:val="en-US" w:eastAsia="zh-CN" w:bidi="ar"/>
              </w:rPr>
              <w:t>人</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9781A">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default" w:ascii="宋体" w:hAnsi="宋体" w:eastAsia="宋体" w:cs="宋体"/>
                <w:i w:val="0"/>
                <w:iCs w:val="0"/>
                <w:color w:val="auto"/>
                <w:kern w:val="0"/>
                <w:sz w:val="24"/>
                <w:szCs w:val="24"/>
                <w:u w:val="none"/>
                <w:lang w:val="en-US" w:eastAsia="zh-CN" w:bidi="ar"/>
              </w:rPr>
              <w:t>32</w:t>
            </w:r>
          </w:p>
        </w:tc>
      </w:tr>
      <w:tr w14:paraId="7699A193">
        <w:tblPrEx>
          <w:tblCellMar>
            <w:top w:w="0" w:type="dxa"/>
            <w:left w:w="108" w:type="dxa"/>
            <w:bottom w:w="0" w:type="dxa"/>
            <w:right w:w="108" w:type="dxa"/>
          </w:tblCellMar>
        </w:tblPrEx>
        <w:trPr>
          <w:trHeight w:val="499"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CCAEBA">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default" w:ascii="宋体" w:hAnsi="宋体" w:eastAsia="宋体" w:cs="宋体"/>
                <w:i w:val="0"/>
                <w:iCs w:val="0"/>
                <w:color w:val="auto"/>
                <w:kern w:val="0"/>
                <w:sz w:val="24"/>
                <w:szCs w:val="24"/>
                <w:u w:val="none"/>
                <w:lang w:val="en-US" w:eastAsia="zh-CN" w:bidi="ar"/>
              </w:rPr>
              <w:t>3</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E1E24">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default" w:ascii="宋体" w:hAnsi="宋体" w:eastAsia="宋体" w:cs="宋体"/>
                <w:i w:val="0"/>
                <w:iCs w:val="0"/>
                <w:color w:val="auto"/>
                <w:kern w:val="0"/>
                <w:sz w:val="24"/>
                <w:szCs w:val="24"/>
                <w:u w:val="none"/>
                <w:lang w:val="en-US" w:eastAsia="zh-CN" w:bidi="ar"/>
              </w:rPr>
              <w:t>应届毕业生在本省落实就业去向人数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2974E">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default" w:ascii="宋体" w:hAnsi="宋体" w:eastAsia="宋体" w:cs="宋体"/>
                <w:i w:val="0"/>
                <w:iCs w:val="0"/>
                <w:color w:val="auto"/>
                <w:kern w:val="0"/>
                <w:sz w:val="24"/>
                <w:szCs w:val="24"/>
                <w:u w:val="none"/>
                <w:lang w:val="en-US" w:eastAsia="zh-CN" w:bidi="ar"/>
              </w:rPr>
              <w:t>人</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0DB22">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default" w:ascii="宋体" w:hAnsi="宋体" w:eastAsia="宋体" w:cs="宋体"/>
                <w:i w:val="0"/>
                <w:iCs w:val="0"/>
                <w:color w:val="auto"/>
                <w:kern w:val="0"/>
                <w:sz w:val="24"/>
                <w:szCs w:val="24"/>
                <w:u w:val="none"/>
                <w:lang w:val="en-US" w:eastAsia="zh-CN" w:bidi="ar"/>
              </w:rPr>
              <w:t>140</w:t>
            </w:r>
          </w:p>
        </w:tc>
      </w:tr>
      <w:tr w14:paraId="1E4EF044">
        <w:tblPrEx>
          <w:tblCellMar>
            <w:top w:w="0" w:type="dxa"/>
            <w:left w:w="108" w:type="dxa"/>
            <w:bottom w:w="0" w:type="dxa"/>
            <w:right w:w="108" w:type="dxa"/>
          </w:tblCellMar>
        </w:tblPrEx>
        <w:trPr>
          <w:trHeight w:val="499"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0F42A8">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8BDDF">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default" w:ascii="宋体" w:hAnsi="宋体" w:eastAsia="宋体" w:cs="宋体"/>
                <w:i w:val="0"/>
                <w:iCs w:val="0"/>
                <w:color w:val="auto"/>
                <w:kern w:val="0"/>
                <w:sz w:val="24"/>
                <w:szCs w:val="24"/>
                <w:u w:val="none"/>
                <w:lang w:val="en-US" w:eastAsia="zh-CN" w:bidi="ar"/>
              </w:rPr>
              <w:t>毕业生本省去向落实率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7E0BD">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default" w:ascii="宋体" w:hAnsi="宋体" w:eastAsia="宋体" w:cs="宋体"/>
                <w:i w:val="0"/>
                <w:iCs w:val="0"/>
                <w:color w:val="auto"/>
                <w:kern w:val="0"/>
                <w:sz w:val="24"/>
                <w:szCs w:val="24"/>
                <w:u w:val="none"/>
                <w:lang w:val="en-US" w:eastAsia="zh-CN" w:bidi="ar"/>
              </w:rPr>
              <w:t>%</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276C8">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default" w:ascii="宋体" w:hAnsi="宋体" w:eastAsia="宋体" w:cs="宋体"/>
                <w:i w:val="0"/>
                <w:iCs w:val="0"/>
                <w:color w:val="auto"/>
                <w:kern w:val="0"/>
                <w:sz w:val="24"/>
                <w:szCs w:val="24"/>
                <w:u w:val="none"/>
                <w:lang w:val="en-US" w:eastAsia="zh-CN" w:bidi="ar"/>
              </w:rPr>
              <w:t>92.11</w:t>
            </w:r>
          </w:p>
        </w:tc>
      </w:tr>
      <w:tr w14:paraId="6702B05D">
        <w:tblPrEx>
          <w:tblCellMar>
            <w:top w:w="0" w:type="dxa"/>
            <w:left w:w="108" w:type="dxa"/>
            <w:bottom w:w="0" w:type="dxa"/>
            <w:right w:w="108" w:type="dxa"/>
          </w:tblCellMar>
        </w:tblPrEx>
        <w:trPr>
          <w:trHeight w:val="499"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56708">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default" w:ascii="宋体" w:hAnsi="宋体" w:eastAsia="宋体" w:cs="宋体"/>
                <w:i w:val="0"/>
                <w:iCs w:val="0"/>
                <w:color w:val="auto"/>
                <w:kern w:val="0"/>
                <w:sz w:val="24"/>
                <w:szCs w:val="24"/>
                <w:u w:val="none"/>
                <w:lang w:val="en-US" w:eastAsia="zh-CN" w:bidi="ar"/>
              </w:rPr>
              <w:t>4</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9F96F">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default" w:ascii="宋体" w:hAnsi="宋体" w:eastAsia="宋体" w:cs="宋体"/>
                <w:i w:val="0"/>
                <w:iCs w:val="0"/>
                <w:color w:val="auto"/>
                <w:kern w:val="0"/>
                <w:sz w:val="24"/>
                <w:szCs w:val="24"/>
                <w:u w:val="none"/>
                <w:lang w:val="en-US" w:eastAsia="zh-CN" w:bidi="ar"/>
              </w:rPr>
              <w:t>月收入</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B5187">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default" w:ascii="宋体" w:hAnsi="宋体" w:eastAsia="宋体" w:cs="宋体"/>
                <w:i w:val="0"/>
                <w:iCs w:val="0"/>
                <w:color w:val="auto"/>
                <w:kern w:val="0"/>
                <w:sz w:val="24"/>
                <w:szCs w:val="24"/>
                <w:u w:val="none"/>
                <w:lang w:val="en-US" w:eastAsia="zh-CN" w:bidi="ar"/>
              </w:rPr>
              <w:t>元</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CC9C5">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default" w:ascii="宋体" w:hAnsi="宋体" w:eastAsia="宋体" w:cs="宋体"/>
                <w:i w:val="0"/>
                <w:iCs w:val="0"/>
                <w:color w:val="auto"/>
                <w:kern w:val="0"/>
                <w:sz w:val="24"/>
                <w:szCs w:val="24"/>
                <w:u w:val="none"/>
                <w:lang w:val="en-US" w:eastAsia="zh-CN" w:bidi="ar"/>
              </w:rPr>
              <w:t>4125</w:t>
            </w:r>
          </w:p>
        </w:tc>
      </w:tr>
      <w:tr w14:paraId="28C3C8E3">
        <w:tblPrEx>
          <w:tblCellMar>
            <w:top w:w="0" w:type="dxa"/>
            <w:left w:w="108" w:type="dxa"/>
            <w:bottom w:w="0" w:type="dxa"/>
            <w:right w:w="108" w:type="dxa"/>
          </w:tblCellMar>
        </w:tblPrEx>
        <w:trPr>
          <w:trHeight w:val="499"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2BB17C">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default" w:ascii="宋体" w:hAnsi="宋体" w:eastAsia="宋体" w:cs="宋体"/>
                <w:i w:val="0"/>
                <w:iCs w:val="0"/>
                <w:color w:val="auto"/>
                <w:kern w:val="0"/>
                <w:sz w:val="24"/>
                <w:szCs w:val="24"/>
                <w:u w:val="none"/>
                <w:lang w:val="en-US" w:eastAsia="zh-CN" w:bidi="ar"/>
              </w:rPr>
              <w:t>5</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9A2D2">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default" w:ascii="宋体" w:hAnsi="宋体" w:eastAsia="宋体" w:cs="宋体"/>
                <w:i w:val="0"/>
                <w:iCs w:val="0"/>
                <w:color w:val="auto"/>
                <w:kern w:val="0"/>
                <w:sz w:val="24"/>
                <w:szCs w:val="24"/>
                <w:u w:val="none"/>
                <w:lang w:val="en-US" w:eastAsia="zh-CN" w:bidi="ar"/>
              </w:rPr>
              <w:t>毕业生面向三次产业就业人数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8E191">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default" w:ascii="宋体" w:hAnsi="宋体" w:eastAsia="宋体" w:cs="宋体"/>
                <w:i w:val="0"/>
                <w:iCs w:val="0"/>
                <w:color w:val="auto"/>
                <w:kern w:val="0"/>
                <w:sz w:val="24"/>
                <w:szCs w:val="24"/>
                <w:u w:val="none"/>
                <w:lang w:val="en-US" w:eastAsia="zh-CN" w:bidi="ar"/>
              </w:rPr>
              <w:t>人</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455A4">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default" w:ascii="宋体" w:hAnsi="宋体" w:eastAsia="宋体" w:cs="宋体"/>
                <w:i w:val="0"/>
                <w:iCs w:val="0"/>
                <w:color w:val="auto"/>
                <w:kern w:val="0"/>
                <w:sz w:val="24"/>
                <w:szCs w:val="24"/>
                <w:u w:val="none"/>
                <w:lang w:val="en-US" w:eastAsia="zh-CN" w:bidi="ar"/>
              </w:rPr>
              <w:t>100</w:t>
            </w:r>
          </w:p>
        </w:tc>
      </w:tr>
      <w:tr w14:paraId="16E019BE">
        <w:tblPrEx>
          <w:tblCellMar>
            <w:top w:w="0" w:type="dxa"/>
            <w:left w:w="108" w:type="dxa"/>
            <w:bottom w:w="0" w:type="dxa"/>
            <w:right w:w="108" w:type="dxa"/>
          </w:tblCellMar>
        </w:tblPrEx>
        <w:trPr>
          <w:trHeight w:val="499"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E193A8">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4673D">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default" w:ascii="宋体" w:hAnsi="宋体" w:eastAsia="宋体" w:cs="宋体"/>
                <w:i w:val="0"/>
                <w:iCs w:val="0"/>
                <w:color w:val="auto"/>
                <w:kern w:val="0"/>
                <w:sz w:val="24"/>
                <w:szCs w:val="24"/>
                <w:u w:val="none"/>
                <w:lang w:val="en-US" w:eastAsia="zh-CN" w:bidi="ar"/>
              </w:rPr>
              <w:t>其中：面向第一产业就业人数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E30AB">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default" w:ascii="宋体" w:hAnsi="宋体" w:eastAsia="宋体" w:cs="宋体"/>
                <w:i w:val="0"/>
                <w:iCs w:val="0"/>
                <w:color w:val="auto"/>
                <w:kern w:val="0"/>
                <w:sz w:val="24"/>
                <w:szCs w:val="24"/>
                <w:u w:val="none"/>
                <w:lang w:val="en-US" w:eastAsia="zh-CN" w:bidi="ar"/>
              </w:rPr>
              <w:t>人</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F7500">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default" w:ascii="宋体" w:hAnsi="宋体" w:eastAsia="宋体" w:cs="宋体"/>
                <w:i w:val="0"/>
                <w:iCs w:val="0"/>
                <w:color w:val="auto"/>
                <w:kern w:val="0"/>
                <w:sz w:val="24"/>
                <w:szCs w:val="24"/>
                <w:u w:val="none"/>
                <w:lang w:val="en-US" w:eastAsia="zh-CN" w:bidi="ar"/>
              </w:rPr>
              <w:t>0</w:t>
            </w:r>
          </w:p>
        </w:tc>
      </w:tr>
      <w:tr w14:paraId="52D1A15C">
        <w:tblPrEx>
          <w:tblCellMar>
            <w:top w:w="0" w:type="dxa"/>
            <w:left w:w="108" w:type="dxa"/>
            <w:bottom w:w="0" w:type="dxa"/>
            <w:right w:w="108" w:type="dxa"/>
          </w:tblCellMar>
        </w:tblPrEx>
        <w:trPr>
          <w:trHeight w:val="499"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3F6698">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83370">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default" w:ascii="宋体" w:hAnsi="宋体" w:eastAsia="宋体" w:cs="宋体"/>
                <w:i w:val="0"/>
                <w:iCs w:val="0"/>
                <w:color w:val="auto"/>
                <w:kern w:val="0"/>
                <w:sz w:val="24"/>
                <w:szCs w:val="24"/>
                <w:u w:val="none"/>
                <w:lang w:val="en-US" w:eastAsia="zh-CN" w:bidi="ar"/>
              </w:rPr>
              <w:t xml:space="preserve">      面向第二产业就业人数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B65A7">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default" w:ascii="宋体" w:hAnsi="宋体" w:eastAsia="宋体" w:cs="宋体"/>
                <w:i w:val="0"/>
                <w:iCs w:val="0"/>
                <w:color w:val="auto"/>
                <w:kern w:val="0"/>
                <w:sz w:val="24"/>
                <w:szCs w:val="24"/>
                <w:u w:val="none"/>
                <w:lang w:val="en-US" w:eastAsia="zh-CN" w:bidi="ar"/>
              </w:rPr>
              <w:t>人</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B51E4">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default" w:ascii="宋体" w:hAnsi="宋体" w:eastAsia="宋体" w:cs="宋体"/>
                <w:i w:val="0"/>
                <w:iCs w:val="0"/>
                <w:color w:val="auto"/>
                <w:kern w:val="0"/>
                <w:sz w:val="24"/>
                <w:szCs w:val="24"/>
                <w:u w:val="none"/>
                <w:lang w:val="en-US" w:eastAsia="zh-CN" w:bidi="ar"/>
              </w:rPr>
              <w:t>0</w:t>
            </w:r>
          </w:p>
        </w:tc>
      </w:tr>
      <w:tr w14:paraId="7C3F4DE2">
        <w:tblPrEx>
          <w:tblCellMar>
            <w:top w:w="0" w:type="dxa"/>
            <w:left w:w="108" w:type="dxa"/>
            <w:bottom w:w="0" w:type="dxa"/>
            <w:right w:w="108" w:type="dxa"/>
          </w:tblCellMar>
        </w:tblPrEx>
        <w:trPr>
          <w:trHeight w:val="499"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3F960B">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31D06">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default" w:ascii="宋体" w:hAnsi="宋体" w:eastAsia="宋体" w:cs="宋体"/>
                <w:i w:val="0"/>
                <w:iCs w:val="0"/>
                <w:color w:val="auto"/>
                <w:kern w:val="0"/>
                <w:sz w:val="24"/>
                <w:szCs w:val="24"/>
                <w:u w:val="none"/>
                <w:lang w:val="en-US" w:eastAsia="zh-CN" w:bidi="ar"/>
              </w:rPr>
              <w:t xml:space="preserve">      面向第三产业就业人数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559C3">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default" w:ascii="宋体" w:hAnsi="宋体" w:eastAsia="宋体" w:cs="宋体"/>
                <w:i w:val="0"/>
                <w:iCs w:val="0"/>
                <w:color w:val="auto"/>
                <w:kern w:val="0"/>
                <w:sz w:val="24"/>
                <w:szCs w:val="24"/>
                <w:u w:val="none"/>
                <w:lang w:val="en-US" w:eastAsia="zh-CN" w:bidi="ar"/>
              </w:rPr>
              <w:t>人</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F7E89">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default" w:ascii="宋体" w:hAnsi="宋体" w:eastAsia="宋体" w:cs="宋体"/>
                <w:i w:val="0"/>
                <w:iCs w:val="0"/>
                <w:color w:val="auto"/>
                <w:kern w:val="0"/>
                <w:sz w:val="24"/>
                <w:szCs w:val="24"/>
                <w:u w:val="none"/>
                <w:lang w:val="en-US" w:eastAsia="zh-CN" w:bidi="ar"/>
              </w:rPr>
              <w:t>100</w:t>
            </w:r>
          </w:p>
        </w:tc>
      </w:tr>
      <w:tr w14:paraId="0E7BD886">
        <w:tblPrEx>
          <w:tblCellMar>
            <w:top w:w="0" w:type="dxa"/>
            <w:left w:w="108" w:type="dxa"/>
            <w:bottom w:w="0" w:type="dxa"/>
            <w:right w:w="108" w:type="dxa"/>
          </w:tblCellMar>
        </w:tblPrEx>
        <w:trPr>
          <w:trHeight w:val="499"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32EB62">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default" w:ascii="宋体" w:hAnsi="宋体" w:eastAsia="宋体" w:cs="宋体"/>
                <w:i w:val="0"/>
                <w:iCs w:val="0"/>
                <w:color w:val="auto"/>
                <w:kern w:val="0"/>
                <w:sz w:val="24"/>
                <w:szCs w:val="24"/>
                <w:u w:val="none"/>
                <w:lang w:val="en-US" w:eastAsia="zh-CN" w:bidi="ar"/>
              </w:rPr>
              <w:t>6</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5E1D3">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default" w:ascii="宋体" w:hAnsi="宋体" w:eastAsia="宋体" w:cs="宋体"/>
                <w:i w:val="0"/>
                <w:iCs w:val="0"/>
                <w:color w:val="auto"/>
                <w:kern w:val="0"/>
                <w:sz w:val="24"/>
                <w:szCs w:val="24"/>
                <w:u w:val="none"/>
                <w:lang w:val="en-US" w:eastAsia="zh-CN" w:bidi="ar"/>
              </w:rPr>
              <w:t>应届毕业生创业人数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FC22B">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default" w:ascii="宋体" w:hAnsi="宋体" w:eastAsia="宋体" w:cs="宋体"/>
                <w:i w:val="0"/>
                <w:iCs w:val="0"/>
                <w:color w:val="auto"/>
                <w:kern w:val="0"/>
                <w:sz w:val="24"/>
                <w:szCs w:val="24"/>
                <w:u w:val="none"/>
                <w:lang w:val="en-US" w:eastAsia="zh-CN" w:bidi="ar"/>
              </w:rPr>
              <w:t>人</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5B39D">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default" w:ascii="宋体" w:hAnsi="宋体" w:eastAsia="宋体" w:cs="宋体"/>
                <w:i w:val="0"/>
                <w:iCs w:val="0"/>
                <w:color w:val="auto"/>
                <w:kern w:val="0"/>
                <w:sz w:val="24"/>
                <w:szCs w:val="24"/>
                <w:u w:val="none"/>
                <w:lang w:val="en-US" w:eastAsia="zh-CN" w:bidi="ar"/>
              </w:rPr>
              <w:t>3</w:t>
            </w:r>
          </w:p>
        </w:tc>
      </w:tr>
      <w:tr w14:paraId="3C98E172">
        <w:tblPrEx>
          <w:tblCellMar>
            <w:top w:w="0" w:type="dxa"/>
            <w:left w:w="108" w:type="dxa"/>
            <w:bottom w:w="0" w:type="dxa"/>
            <w:right w:w="108" w:type="dxa"/>
          </w:tblCellMar>
        </w:tblPrEx>
        <w:trPr>
          <w:trHeight w:val="499"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84C2F6">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8CBAB">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default" w:ascii="宋体" w:hAnsi="宋体" w:eastAsia="宋体" w:cs="宋体"/>
                <w:i w:val="0"/>
                <w:iCs w:val="0"/>
                <w:color w:val="auto"/>
                <w:kern w:val="0"/>
                <w:sz w:val="24"/>
                <w:szCs w:val="24"/>
                <w:u w:val="none"/>
                <w:lang w:val="en-US" w:eastAsia="zh-CN" w:bidi="ar"/>
              </w:rPr>
              <w:t>自主创业率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76E78">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default" w:ascii="宋体" w:hAnsi="宋体" w:eastAsia="宋体" w:cs="宋体"/>
                <w:i w:val="0"/>
                <w:iCs w:val="0"/>
                <w:color w:val="auto"/>
                <w:kern w:val="0"/>
                <w:sz w:val="24"/>
                <w:szCs w:val="24"/>
                <w:u w:val="none"/>
                <w:lang w:val="en-US" w:eastAsia="zh-CN" w:bidi="ar"/>
              </w:rPr>
              <w:t>%</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4590E">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default" w:ascii="宋体" w:hAnsi="宋体" w:eastAsia="宋体" w:cs="宋体"/>
                <w:i w:val="0"/>
                <w:iCs w:val="0"/>
                <w:color w:val="auto"/>
                <w:kern w:val="0"/>
                <w:sz w:val="24"/>
                <w:szCs w:val="24"/>
                <w:u w:val="none"/>
                <w:lang w:val="en-US" w:eastAsia="zh-CN" w:bidi="ar"/>
              </w:rPr>
              <w:t>1.97</w:t>
            </w:r>
          </w:p>
        </w:tc>
      </w:tr>
      <w:tr w14:paraId="298CD039">
        <w:tblPrEx>
          <w:tblCellMar>
            <w:top w:w="0" w:type="dxa"/>
            <w:left w:w="108" w:type="dxa"/>
            <w:bottom w:w="0" w:type="dxa"/>
            <w:right w:w="108" w:type="dxa"/>
          </w:tblCellMar>
        </w:tblPrEx>
        <w:trPr>
          <w:trHeight w:val="499"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2A5F4">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default" w:ascii="宋体" w:hAnsi="宋体" w:eastAsia="宋体" w:cs="宋体"/>
                <w:i w:val="0"/>
                <w:iCs w:val="0"/>
                <w:color w:val="auto"/>
                <w:kern w:val="0"/>
                <w:sz w:val="24"/>
                <w:szCs w:val="24"/>
                <w:u w:val="none"/>
                <w:lang w:val="en-US" w:eastAsia="zh-CN" w:bidi="ar"/>
              </w:rPr>
              <w:t>7</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525C7">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default" w:ascii="宋体" w:hAnsi="宋体" w:eastAsia="宋体" w:cs="宋体"/>
                <w:i w:val="0"/>
                <w:iCs w:val="0"/>
                <w:color w:val="auto"/>
                <w:kern w:val="0"/>
                <w:sz w:val="24"/>
                <w:szCs w:val="24"/>
                <w:u w:val="none"/>
                <w:lang w:val="en-US" w:eastAsia="zh-CN" w:bidi="ar"/>
              </w:rPr>
              <w:t>毕业三年晋升比例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581EC">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default" w:ascii="宋体" w:hAnsi="宋体" w:eastAsia="宋体" w:cs="宋体"/>
                <w:i w:val="0"/>
                <w:iCs w:val="0"/>
                <w:color w:val="auto"/>
                <w:kern w:val="0"/>
                <w:sz w:val="24"/>
                <w:szCs w:val="24"/>
                <w:u w:val="none"/>
                <w:lang w:val="en-US" w:eastAsia="zh-CN" w:bidi="ar"/>
              </w:rPr>
              <w:t>%</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23E37">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default" w:ascii="宋体" w:hAnsi="宋体" w:eastAsia="宋体" w:cs="宋体"/>
                <w:i w:val="0"/>
                <w:iCs w:val="0"/>
                <w:color w:val="auto"/>
                <w:kern w:val="0"/>
                <w:sz w:val="24"/>
                <w:szCs w:val="24"/>
                <w:u w:val="none"/>
                <w:lang w:val="en-US" w:eastAsia="zh-CN" w:bidi="ar"/>
              </w:rPr>
              <w:t>0</w:t>
            </w:r>
          </w:p>
        </w:tc>
      </w:tr>
    </w:tbl>
    <w:p w14:paraId="6BD8BF47">
      <w:pPr>
        <w:adjustRightInd w:val="0"/>
        <w:snapToGrid w:val="0"/>
        <w:spacing w:line="560" w:lineRule="exact"/>
        <w:jc w:val="center"/>
        <w:rPr>
          <w:rFonts w:hint="default" w:ascii="仿宋" w:hAnsi="仿宋" w:eastAsia="仿宋" w:cs="仿宋"/>
          <w:color w:val="auto"/>
          <w:szCs w:val="32"/>
        </w:rPr>
      </w:pPr>
      <w:r>
        <w:rPr>
          <w:rFonts w:ascii="仿宋" w:hAnsi="仿宋" w:eastAsia="仿宋" w:cs="仿宋"/>
          <w:color w:val="auto"/>
          <w:szCs w:val="32"/>
        </w:rPr>
        <w:t>表 2   202</w:t>
      </w:r>
      <w:r>
        <w:rPr>
          <w:rFonts w:hint="eastAsia" w:ascii="仿宋" w:hAnsi="仿宋" w:eastAsia="仿宋" w:cs="仿宋"/>
          <w:color w:val="auto"/>
          <w:szCs w:val="32"/>
          <w:lang w:val="en-US" w:eastAsia="zh-CN"/>
        </w:rPr>
        <w:t>4</w:t>
      </w:r>
      <w:r>
        <w:rPr>
          <w:rFonts w:ascii="仿宋" w:hAnsi="仿宋" w:eastAsia="仿宋" w:cs="仿宋"/>
          <w:color w:val="auto"/>
          <w:szCs w:val="32"/>
        </w:rPr>
        <w:t>届毕业生升学（本科）统计表</w:t>
      </w:r>
    </w:p>
    <w:tbl>
      <w:tblPr>
        <w:tblStyle w:val="17"/>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6"/>
        <w:gridCol w:w="1284"/>
        <w:gridCol w:w="1308"/>
        <w:gridCol w:w="3096"/>
        <w:gridCol w:w="2136"/>
      </w:tblGrid>
      <w:tr w14:paraId="5E628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4"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6EFC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序号</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6255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姓名</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5F06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专项</w:t>
            </w:r>
          </w:p>
        </w:tc>
        <w:tc>
          <w:tcPr>
            <w:tcW w:w="1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F469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学校名称</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B146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专业</w:t>
            </w:r>
          </w:p>
        </w:tc>
      </w:tr>
      <w:tr w14:paraId="46272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A457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6178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任翔</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BA5A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男篮</w:t>
            </w:r>
          </w:p>
        </w:tc>
        <w:tc>
          <w:tcPr>
            <w:tcW w:w="1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2252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吉林皇家体院</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3F44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运动训练</w:t>
            </w:r>
          </w:p>
        </w:tc>
      </w:tr>
      <w:tr w14:paraId="17323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3EC3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C064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曹梓烨</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721F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激流回旋</w:t>
            </w:r>
          </w:p>
        </w:tc>
        <w:tc>
          <w:tcPr>
            <w:tcW w:w="1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1F0C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东北电力大学</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7B50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运动训练</w:t>
            </w:r>
          </w:p>
        </w:tc>
      </w:tr>
      <w:tr w14:paraId="78362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2CF9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D493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杨敏浩</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9B19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皮划艇</w:t>
            </w:r>
          </w:p>
        </w:tc>
        <w:tc>
          <w:tcPr>
            <w:tcW w:w="1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B361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哈尔滨工程大学</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C0AA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计算机科学与技术</w:t>
            </w:r>
          </w:p>
        </w:tc>
      </w:tr>
      <w:tr w14:paraId="6E81C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BD9D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D240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林中焜</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95FA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激流回旋</w:t>
            </w:r>
          </w:p>
        </w:tc>
        <w:tc>
          <w:tcPr>
            <w:tcW w:w="1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278D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集美大学</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5053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运动训练</w:t>
            </w:r>
          </w:p>
        </w:tc>
      </w:tr>
      <w:tr w14:paraId="39B77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47D2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C32E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檀儒凯</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31AE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赛艇</w:t>
            </w:r>
          </w:p>
        </w:tc>
        <w:tc>
          <w:tcPr>
            <w:tcW w:w="1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B7BE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武汉体育学院</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D7C5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运动训练</w:t>
            </w:r>
          </w:p>
        </w:tc>
      </w:tr>
      <w:tr w14:paraId="4E67F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4DCD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4E08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江泓沂</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C69C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武术</w:t>
            </w:r>
          </w:p>
        </w:tc>
        <w:tc>
          <w:tcPr>
            <w:tcW w:w="1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F62D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武汉体育学院</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6E95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运动训练</w:t>
            </w:r>
          </w:p>
        </w:tc>
      </w:tr>
      <w:tr w14:paraId="2DAA8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4908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6243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王慧敏</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7D93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武术</w:t>
            </w:r>
          </w:p>
        </w:tc>
        <w:tc>
          <w:tcPr>
            <w:tcW w:w="1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CFCE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成都体育学院</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3D7B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运动训练</w:t>
            </w:r>
          </w:p>
        </w:tc>
      </w:tr>
      <w:tr w14:paraId="66AE1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2F86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273A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穆熙文</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1F2F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散打</w:t>
            </w:r>
          </w:p>
        </w:tc>
        <w:tc>
          <w:tcPr>
            <w:tcW w:w="1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50DA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北京体育大学</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8640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民族传统</w:t>
            </w:r>
          </w:p>
        </w:tc>
      </w:tr>
      <w:tr w14:paraId="58998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B58A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8213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郑清怡</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002F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蹦床</w:t>
            </w:r>
          </w:p>
        </w:tc>
        <w:tc>
          <w:tcPr>
            <w:tcW w:w="1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0A7B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西安体育学院</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6158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运动训练</w:t>
            </w:r>
          </w:p>
        </w:tc>
      </w:tr>
      <w:tr w14:paraId="09BFA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957D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8671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钱媛媛</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D94F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女篮</w:t>
            </w:r>
          </w:p>
        </w:tc>
        <w:tc>
          <w:tcPr>
            <w:tcW w:w="1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96CA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北京大学</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81E6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体育教育</w:t>
            </w:r>
          </w:p>
        </w:tc>
      </w:tr>
      <w:tr w14:paraId="643E9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5C87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FD3A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陈仕翰</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9569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击剑</w:t>
            </w:r>
          </w:p>
        </w:tc>
        <w:tc>
          <w:tcPr>
            <w:tcW w:w="1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3859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福建师范大学</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1FAC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运动训练</w:t>
            </w:r>
          </w:p>
        </w:tc>
      </w:tr>
      <w:tr w14:paraId="10129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58FA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B85B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黄弘锐</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C5FE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皮划艇</w:t>
            </w:r>
          </w:p>
        </w:tc>
        <w:tc>
          <w:tcPr>
            <w:tcW w:w="1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98FD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江西师范大学</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B4AF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运动训练</w:t>
            </w:r>
          </w:p>
        </w:tc>
      </w:tr>
      <w:tr w14:paraId="18EE1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9D96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8878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丁玟婧</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8991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女排</w:t>
            </w:r>
          </w:p>
        </w:tc>
        <w:tc>
          <w:tcPr>
            <w:tcW w:w="1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C5CF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衡阳师范学院</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55AB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运动训练</w:t>
            </w:r>
          </w:p>
        </w:tc>
      </w:tr>
      <w:tr w14:paraId="0DD29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8F5F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5724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何梓洋</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9AD8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跆拳道</w:t>
            </w:r>
          </w:p>
        </w:tc>
        <w:tc>
          <w:tcPr>
            <w:tcW w:w="1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8108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武汉体育科技学院</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EAF0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运动训练</w:t>
            </w:r>
          </w:p>
        </w:tc>
      </w:tr>
      <w:tr w14:paraId="417BA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EB71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C72E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叶兴楠</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3FA4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足球</w:t>
            </w:r>
          </w:p>
        </w:tc>
        <w:tc>
          <w:tcPr>
            <w:tcW w:w="1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0E2B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广西民族大学</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34B7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运动训练</w:t>
            </w:r>
          </w:p>
        </w:tc>
      </w:tr>
      <w:tr w14:paraId="74922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2233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E090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孙鑫媛</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6B3C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田径</w:t>
            </w:r>
          </w:p>
        </w:tc>
        <w:tc>
          <w:tcPr>
            <w:tcW w:w="1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4C09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江西师范大学</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8ABB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运动训练</w:t>
            </w:r>
          </w:p>
        </w:tc>
      </w:tr>
      <w:tr w14:paraId="6E493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06A4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5AC5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朱立铖</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8FED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乒乓球</w:t>
            </w:r>
          </w:p>
        </w:tc>
        <w:tc>
          <w:tcPr>
            <w:tcW w:w="1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F621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湖北工业大学</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DDEF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运动训练</w:t>
            </w:r>
          </w:p>
        </w:tc>
      </w:tr>
      <w:tr w14:paraId="61AAC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403E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BEB2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李征</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77CB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跆拳道</w:t>
            </w:r>
          </w:p>
        </w:tc>
        <w:tc>
          <w:tcPr>
            <w:tcW w:w="1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5270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安徽师范大学</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ACC3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运动训练</w:t>
            </w:r>
          </w:p>
        </w:tc>
      </w:tr>
      <w:tr w14:paraId="468EB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C5FB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3C77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林俊煌</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19C0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乒乓球</w:t>
            </w:r>
          </w:p>
        </w:tc>
        <w:tc>
          <w:tcPr>
            <w:tcW w:w="1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D23E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湖北工业大学</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C959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运动训练</w:t>
            </w:r>
          </w:p>
        </w:tc>
      </w:tr>
      <w:tr w14:paraId="66B6D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0F67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3FC9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林翔宇</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6C5A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网球</w:t>
            </w:r>
          </w:p>
        </w:tc>
        <w:tc>
          <w:tcPr>
            <w:tcW w:w="1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43F3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集美大学</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36E0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运动训练</w:t>
            </w:r>
          </w:p>
        </w:tc>
      </w:tr>
      <w:tr w14:paraId="7C322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036F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F4E3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林雨楦</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59CC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网球</w:t>
            </w:r>
          </w:p>
        </w:tc>
        <w:tc>
          <w:tcPr>
            <w:tcW w:w="1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7BD6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西南大学</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727C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运动训练</w:t>
            </w:r>
          </w:p>
        </w:tc>
      </w:tr>
      <w:tr w14:paraId="1A736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E41A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9FED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林雨欣</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0167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女排</w:t>
            </w:r>
          </w:p>
        </w:tc>
        <w:tc>
          <w:tcPr>
            <w:tcW w:w="1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A709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宜春学院</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3D57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运动训练</w:t>
            </w:r>
          </w:p>
        </w:tc>
      </w:tr>
      <w:tr w14:paraId="6936D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6F14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23</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B460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江美铃</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A5A2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女排</w:t>
            </w:r>
          </w:p>
        </w:tc>
        <w:tc>
          <w:tcPr>
            <w:tcW w:w="1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7A70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巢湖学院</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3379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运动训练</w:t>
            </w:r>
          </w:p>
        </w:tc>
      </w:tr>
      <w:tr w14:paraId="70249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6E01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D68A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王诗雨</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2C34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游泳</w:t>
            </w:r>
          </w:p>
        </w:tc>
        <w:tc>
          <w:tcPr>
            <w:tcW w:w="1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CEC5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陕西理工大学</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F05A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运动训练</w:t>
            </w:r>
          </w:p>
        </w:tc>
      </w:tr>
      <w:tr w14:paraId="08CA4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1AC2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1F12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蒋祉熙</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73F8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跆拳道</w:t>
            </w:r>
          </w:p>
        </w:tc>
        <w:tc>
          <w:tcPr>
            <w:tcW w:w="1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1BDF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武汉体育学院体育科技学院</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B7F4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运动训练</w:t>
            </w:r>
          </w:p>
        </w:tc>
      </w:tr>
      <w:tr w14:paraId="687D2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490C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26</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78A7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赵宇辰</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9257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女排</w:t>
            </w:r>
          </w:p>
        </w:tc>
        <w:tc>
          <w:tcPr>
            <w:tcW w:w="1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5FEC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福建师范大学（免试）</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8DC5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运动训练</w:t>
            </w:r>
          </w:p>
        </w:tc>
      </w:tr>
      <w:tr w14:paraId="4650B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25B9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27</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58C2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邓瑞晨</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75B5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男排</w:t>
            </w:r>
          </w:p>
        </w:tc>
        <w:tc>
          <w:tcPr>
            <w:tcW w:w="1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C8B5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福建师范大学（免试）</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DEF2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运动训练</w:t>
            </w:r>
          </w:p>
        </w:tc>
      </w:tr>
      <w:tr w14:paraId="5EFBB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DA05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28</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433A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郑欣妍</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44D3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羽毛球</w:t>
            </w:r>
          </w:p>
        </w:tc>
        <w:tc>
          <w:tcPr>
            <w:tcW w:w="1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8EF6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上海体育大学</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CA75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运动训练</w:t>
            </w:r>
          </w:p>
        </w:tc>
      </w:tr>
      <w:tr w14:paraId="3B5C6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C993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29</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23D6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阮佳昱</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AFA0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游泳</w:t>
            </w:r>
          </w:p>
        </w:tc>
        <w:tc>
          <w:tcPr>
            <w:tcW w:w="1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C3C3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华侨大学</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D243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运动训练</w:t>
            </w:r>
          </w:p>
        </w:tc>
      </w:tr>
      <w:tr w14:paraId="7DCB5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A92B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D981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陈安</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12F4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男排</w:t>
            </w:r>
          </w:p>
        </w:tc>
        <w:tc>
          <w:tcPr>
            <w:tcW w:w="1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1FFE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昆明理工大学</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5A4A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运动训练</w:t>
            </w:r>
          </w:p>
        </w:tc>
      </w:tr>
      <w:tr w14:paraId="42822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BA77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31</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5D4C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陈心静</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7DB8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网球</w:t>
            </w:r>
          </w:p>
        </w:tc>
        <w:tc>
          <w:tcPr>
            <w:tcW w:w="1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AA37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华侨大学</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0E5A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运动训练</w:t>
            </w:r>
          </w:p>
        </w:tc>
      </w:tr>
      <w:tr w14:paraId="285AD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8B3D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32</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5772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黄钜融</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FCC8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男排</w:t>
            </w:r>
          </w:p>
        </w:tc>
        <w:tc>
          <w:tcPr>
            <w:tcW w:w="1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DDD3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上海体育大学</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0781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运动训练</w:t>
            </w:r>
          </w:p>
        </w:tc>
      </w:tr>
    </w:tbl>
    <w:p w14:paraId="2BBF67E6">
      <w:pPr>
        <w:pStyle w:val="9"/>
        <w:adjustRightInd w:val="0"/>
        <w:snapToGrid w:val="0"/>
        <w:spacing w:line="560" w:lineRule="exact"/>
        <w:rPr>
          <w:rFonts w:ascii="仿宋" w:hAnsi="仿宋" w:eastAsia="仿宋" w:cs="仿宋"/>
          <w:color w:val="auto"/>
        </w:rPr>
      </w:pPr>
    </w:p>
    <w:p w14:paraId="594E42F9">
      <w:pPr>
        <w:adjustRightInd w:val="0"/>
        <w:snapToGrid w:val="0"/>
        <w:spacing w:line="560" w:lineRule="exact"/>
        <w:jc w:val="center"/>
        <w:rPr>
          <w:rFonts w:hint="default" w:ascii="仿宋" w:hAnsi="仿宋" w:eastAsia="仿宋" w:cs="仿宋"/>
          <w:color w:val="auto"/>
          <w:szCs w:val="32"/>
        </w:rPr>
      </w:pPr>
      <w:r>
        <w:rPr>
          <w:rFonts w:ascii="仿宋" w:hAnsi="仿宋" w:eastAsia="仿宋" w:cs="仿宋"/>
          <w:color w:val="auto"/>
          <w:szCs w:val="32"/>
        </w:rPr>
        <w:t>表3   202</w:t>
      </w:r>
      <w:r>
        <w:rPr>
          <w:rFonts w:hint="eastAsia" w:ascii="仿宋" w:hAnsi="仿宋" w:eastAsia="仿宋" w:cs="仿宋"/>
          <w:color w:val="auto"/>
          <w:szCs w:val="32"/>
          <w:lang w:val="en-US" w:eastAsia="zh-CN"/>
        </w:rPr>
        <w:t>4</w:t>
      </w:r>
      <w:r>
        <w:rPr>
          <w:rFonts w:ascii="仿宋" w:hAnsi="仿宋" w:eastAsia="仿宋" w:cs="仿宋"/>
          <w:color w:val="auto"/>
          <w:szCs w:val="32"/>
        </w:rPr>
        <w:t>届毕业生升学（专科）统计表</w:t>
      </w:r>
    </w:p>
    <w:tbl>
      <w:tblPr>
        <w:tblStyle w:val="1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6"/>
        <w:gridCol w:w="1376"/>
        <w:gridCol w:w="1400"/>
        <w:gridCol w:w="3059"/>
        <w:gridCol w:w="1988"/>
      </w:tblGrid>
      <w:tr w14:paraId="55790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4"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3866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序号</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EE08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姓名</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7C99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专项</w:t>
            </w:r>
          </w:p>
        </w:tc>
        <w:tc>
          <w:tcPr>
            <w:tcW w:w="18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BB9E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学校名称</w:t>
            </w:r>
          </w:p>
        </w:tc>
        <w:tc>
          <w:tcPr>
            <w:tcW w:w="1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3407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专业</w:t>
            </w:r>
          </w:p>
        </w:tc>
      </w:tr>
      <w:tr w14:paraId="328B6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E362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9729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朱雯静</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AC4F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射击</w:t>
            </w:r>
          </w:p>
        </w:tc>
        <w:tc>
          <w:tcPr>
            <w:tcW w:w="18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3F63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厦门兴才学院</w:t>
            </w:r>
          </w:p>
        </w:tc>
        <w:tc>
          <w:tcPr>
            <w:tcW w:w="1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1792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社会体育</w:t>
            </w:r>
          </w:p>
        </w:tc>
      </w:tr>
      <w:tr w14:paraId="6884E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AFE8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1053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林煜城</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562E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射击</w:t>
            </w:r>
          </w:p>
        </w:tc>
        <w:tc>
          <w:tcPr>
            <w:tcW w:w="18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D0D2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福建省体育职业技术学院</w:t>
            </w:r>
          </w:p>
        </w:tc>
        <w:tc>
          <w:tcPr>
            <w:tcW w:w="1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DDEB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社会体育</w:t>
            </w:r>
          </w:p>
        </w:tc>
      </w:tr>
      <w:tr w14:paraId="076FF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B4B7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1723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毛炫杰</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F07B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射击</w:t>
            </w:r>
          </w:p>
        </w:tc>
        <w:tc>
          <w:tcPr>
            <w:tcW w:w="18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6A8F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福建省体育职业技术学院</w:t>
            </w:r>
          </w:p>
        </w:tc>
        <w:tc>
          <w:tcPr>
            <w:tcW w:w="1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A371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运动训练</w:t>
            </w:r>
          </w:p>
        </w:tc>
      </w:tr>
      <w:tr w14:paraId="6514D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54B9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6CFA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江列强</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28B0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射击</w:t>
            </w:r>
          </w:p>
        </w:tc>
        <w:tc>
          <w:tcPr>
            <w:tcW w:w="18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C245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泉州华光职业学院</w:t>
            </w:r>
          </w:p>
        </w:tc>
        <w:tc>
          <w:tcPr>
            <w:tcW w:w="1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ACD0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体育教育</w:t>
            </w:r>
          </w:p>
        </w:tc>
      </w:tr>
      <w:tr w14:paraId="69B81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CBB0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A871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邵熠夫</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DEB5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赛艇</w:t>
            </w:r>
          </w:p>
        </w:tc>
        <w:tc>
          <w:tcPr>
            <w:tcW w:w="18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D2B4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福建省体育职业技术学院</w:t>
            </w:r>
          </w:p>
        </w:tc>
        <w:tc>
          <w:tcPr>
            <w:tcW w:w="1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D405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社会体育</w:t>
            </w:r>
          </w:p>
        </w:tc>
      </w:tr>
      <w:tr w14:paraId="75BAC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C4EA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E826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陈又铭</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4FC7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射箭</w:t>
            </w:r>
          </w:p>
        </w:tc>
        <w:tc>
          <w:tcPr>
            <w:tcW w:w="18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994F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福建省体育职业技术学院</w:t>
            </w:r>
          </w:p>
        </w:tc>
        <w:tc>
          <w:tcPr>
            <w:tcW w:w="1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6426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运动训练</w:t>
            </w:r>
          </w:p>
        </w:tc>
      </w:tr>
      <w:tr w14:paraId="2DAAA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6C4A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C616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陈妍</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45E8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射箭</w:t>
            </w:r>
          </w:p>
        </w:tc>
        <w:tc>
          <w:tcPr>
            <w:tcW w:w="18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6AC4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福建省体育职业技术学院</w:t>
            </w:r>
          </w:p>
        </w:tc>
        <w:tc>
          <w:tcPr>
            <w:tcW w:w="1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A5BE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社会体育</w:t>
            </w:r>
          </w:p>
        </w:tc>
      </w:tr>
      <w:tr w14:paraId="7C1DC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853C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6D30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陈滢</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95E6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拳击</w:t>
            </w:r>
          </w:p>
        </w:tc>
        <w:tc>
          <w:tcPr>
            <w:tcW w:w="18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EC70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福建省体育职业技术学院</w:t>
            </w:r>
          </w:p>
        </w:tc>
        <w:tc>
          <w:tcPr>
            <w:tcW w:w="1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0EF7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社会体育</w:t>
            </w:r>
          </w:p>
        </w:tc>
      </w:tr>
      <w:tr w14:paraId="353BC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1A50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20DC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杨伊蕾</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D8B1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摔跤</w:t>
            </w:r>
          </w:p>
        </w:tc>
        <w:tc>
          <w:tcPr>
            <w:tcW w:w="18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9D7C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福建省体育职业技术学院</w:t>
            </w:r>
          </w:p>
        </w:tc>
        <w:tc>
          <w:tcPr>
            <w:tcW w:w="1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9507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休闲体育</w:t>
            </w:r>
          </w:p>
        </w:tc>
      </w:tr>
      <w:tr w14:paraId="5429E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EFA7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DB18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童淑琳</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E1C1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飞碟</w:t>
            </w:r>
          </w:p>
        </w:tc>
        <w:tc>
          <w:tcPr>
            <w:tcW w:w="18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FE8C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福建省体育职业技术学院</w:t>
            </w:r>
          </w:p>
        </w:tc>
        <w:tc>
          <w:tcPr>
            <w:tcW w:w="1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DBE3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运动训练</w:t>
            </w:r>
          </w:p>
        </w:tc>
      </w:tr>
      <w:tr w14:paraId="595E3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8E77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E39D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翁述华</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808C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摔跤</w:t>
            </w:r>
          </w:p>
        </w:tc>
        <w:tc>
          <w:tcPr>
            <w:tcW w:w="18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A16D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福建省体育职业技术学院</w:t>
            </w:r>
          </w:p>
        </w:tc>
        <w:tc>
          <w:tcPr>
            <w:tcW w:w="1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599F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运动训练</w:t>
            </w:r>
          </w:p>
        </w:tc>
      </w:tr>
      <w:tr w14:paraId="6913E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4FF3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B103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陈展鹏</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A159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摔跤</w:t>
            </w:r>
          </w:p>
        </w:tc>
        <w:tc>
          <w:tcPr>
            <w:tcW w:w="18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A4AE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福建省体育职业技术学院</w:t>
            </w:r>
          </w:p>
        </w:tc>
        <w:tc>
          <w:tcPr>
            <w:tcW w:w="1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F57E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休闲体育</w:t>
            </w:r>
          </w:p>
        </w:tc>
      </w:tr>
      <w:tr w14:paraId="1BADF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CDBE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A8A6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陈心悦</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DB48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跆拳道</w:t>
            </w:r>
          </w:p>
        </w:tc>
        <w:tc>
          <w:tcPr>
            <w:tcW w:w="18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D061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泉州华光职业学院</w:t>
            </w:r>
          </w:p>
        </w:tc>
        <w:tc>
          <w:tcPr>
            <w:tcW w:w="1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D8A8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体育教育</w:t>
            </w:r>
          </w:p>
        </w:tc>
      </w:tr>
    </w:tbl>
    <w:p w14:paraId="4A1A4905">
      <w:pPr>
        <w:pStyle w:val="9"/>
        <w:adjustRightInd w:val="0"/>
        <w:snapToGrid w:val="0"/>
        <w:spacing w:line="560" w:lineRule="exact"/>
        <w:rPr>
          <w:rFonts w:ascii="仿宋" w:hAnsi="仿宋" w:eastAsia="仿宋" w:cs="仿宋"/>
          <w:color w:val="auto"/>
        </w:rPr>
      </w:pPr>
    </w:p>
    <w:p w14:paraId="5239E21A">
      <w:pPr>
        <w:pStyle w:val="4"/>
        <w:keepNext w:val="0"/>
        <w:keepLines w:val="0"/>
        <w:adjustRightInd w:val="0"/>
        <w:snapToGrid w:val="0"/>
        <w:spacing w:line="560" w:lineRule="exact"/>
        <w:ind w:firstLine="640" w:firstLineChars="200"/>
        <w:rPr>
          <w:rFonts w:hint="default" w:ascii="仿宋" w:hAnsi="仿宋" w:eastAsia="仿宋" w:cs="仿宋"/>
          <w:color w:val="auto"/>
        </w:rPr>
      </w:pPr>
      <w:r>
        <w:rPr>
          <w:rFonts w:ascii="仿宋" w:hAnsi="仿宋" w:eastAsia="仿宋" w:cs="仿宋"/>
          <w:color w:val="auto"/>
        </w:rPr>
        <w:t>1.5学生获奖情况</w:t>
      </w:r>
    </w:p>
    <w:p w14:paraId="4C6D68C1">
      <w:pPr>
        <w:pStyle w:val="4"/>
        <w:keepNext w:val="0"/>
        <w:keepLines w:val="0"/>
        <w:adjustRightInd w:val="0"/>
        <w:snapToGrid w:val="0"/>
        <w:spacing w:line="560" w:lineRule="exact"/>
        <w:ind w:firstLine="640" w:firstLineChars="200"/>
        <w:rPr>
          <w:rFonts w:hint="default" w:ascii="仿宋" w:hAnsi="仿宋" w:eastAsia="仿宋" w:cs="仿宋"/>
          <w:color w:val="auto"/>
        </w:rPr>
      </w:pPr>
      <w:bookmarkStart w:id="9" w:name="_Toc18313"/>
      <w:bookmarkStart w:id="10" w:name="_Toc15840"/>
      <w:bookmarkStart w:id="11" w:name="_Toc11470"/>
      <w:r>
        <w:rPr>
          <w:rFonts w:ascii="仿宋" w:hAnsi="仿宋" w:eastAsia="仿宋" w:cs="仿宋"/>
          <w:color w:val="auto"/>
        </w:rPr>
        <w:t>1.5学生获奖情况</w:t>
      </w:r>
    </w:p>
    <w:p w14:paraId="3E898D54">
      <w:pPr>
        <w:adjustRightInd w:val="0"/>
        <w:snapToGrid w:val="0"/>
        <w:spacing w:line="560" w:lineRule="exact"/>
        <w:ind w:firstLine="640" w:firstLineChars="200"/>
        <w:rPr>
          <w:rFonts w:hint="default" w:ascii="仿宋" w:hAnsi="仿宋" w:eastAsia="仿宋" w:cs="仿宋"/>
          <w:color w:val="auto"/>
          <w:szCs w:val="32"/>
        </w:rPr>
      </w:pPr>
      <w:r>
        <w:rPr>
          <w:rFonts w:ascii="仿宋" w:hAnsi="仿宋" w:eastAsia="仿宋" w:cs="仿宋"/>
          <w:color w:val="auto"/>
          <w:szCs w:val="32"/>
        </w:rPr>
        <w:t>2024年省赛我校所承担的20个项目，我校获得了15金、8银、6铜的好成绩，为十八届省运会福州市取得“三个第一”打下良好基础。</w:t>
      </w:r>
    </w:p>
    <w:p w14:paraId="525D31CE">
      <w:pPr>
        <w:adjustRightInd w:val="0"/>
        <w:snapToGrid w:val="0"/>
        <w:spacing w:line="560" w:lineRule="exact"/>
        <w:ind w:firstLine="640" w:firstLineChars="200"/>
        <w:rPr>
          <w:rFonts w:hint="default" w:ascii="仿宋" w:hAnsi="仿宋" w:eastAsia="仿宋" w:cs="仿宋"/>
          <w:color w:val="auto"/>
          <w:szCs w:val="32"/>
        </w:rPr>
      </w:pPr>
      <w:r>
        <w:rPr>
          <w:rFonts w:ascii="仿宋" w:hAnsi="仿宋" w:eastAsia="仿宋" w:cs="仿宋"/>
          <w:color w:val="auto"/>
          <w:szCs w:val="32"/>
        </w:rPr>
        <w:t>具体成绩如下：射箭女子团体第一名、男子团体第二名；羽毛球男子团体第一名、女子团体第二名；高尔夫男子团体第三名、女子团体第一名；篮球男子团体乙组第一名、丙组第一名，女子团体乙组第三名、丙组第一名；射击男子团体第三名、女子团体第一名；柔道男子团体第二名、女子团体第一名；武术套路男子团体第一名、女子团体第二名；沙滩排球男子团体第一名、女子团体第二名；排球男子团体乙组第三名、丙组第二名，女子团体乙组第一名、丙组第二名；摔跤男子团体第五名、女子团体第一名；三人篮球女子组第一名、第二名；高中组第一名、第三名，男子组第二名、第三名；蹦床男子团体第一名、女子团体第二名；乒乓球男子团体第三名、女子团体第二名；网球男子团体第四名、女子团体第三名；体操男子团体第三名、女子团体第四名；击剑男子团体第八名、女子团体第三名；拳击男子团体第四名、女子团体第一名；武术散打男子团体第八名、女子团体第三名。</w:t>
      </w:r>
    </w:p>
    <w:p w14:paraId="0BFA52DB">
      <w:pPr>
        <w:pStyle w:val="3"/>
        <w:keepNext w:val="0"/>
        <w:keepLines w:val="0"/>
        <w:adjustRightInd w:val="0"/>
        <w:snapToGrid w:val="0"/>
        <w:spacing w:line="560" w:lineRule="exact"/>
        <w:rPr>
          <w:rFonts w:hint="default" w:ascii="仿宋" w:hAnsi="仿宋" w:eastAsia="仿宋" w:cs="仿宋"/>
          <w:color w:val="auto"/>
        </w:rPr>
      </w:pPr>
      <w:r>
        <w:rPr>
          <w:rFonts w:ascii="仿宋" w:hAnsi="仿宋" w:eastAsia="仿宋" w:cs="仿宋"/>
          <w:color w:val="auto"/>
        </w:rPr>
        <w:t xml:space="preserve">2 </w:t>
      </w:r>
      <w:bookmarkEnd w:id="9"/>
      <w:bookmarkEnd w:id="10"/>
      <w:bookmarkEnd w:id="11"/>
      <w:r>
        <w:rPr>
          <w:rFonts w:ascii="仿宋" w:hAnsi="仿宋" w:eastAsia="仿宋" w:cs="仿宋"/>
          <w:color w:val="auto"/>
        </w:rPr>
        <w:t>服务贡献</w:t>
      </w:r>
    </w:p>
    <w:p w14:paraId="0584C0C5">
      <w:pPr>
        <w:pStyle w:val="4"/>
        <w:keepNext w:val="0"/>
        <w:keepLines w:val="0"/>
        <w:adjustRightInd w:val="0"/>
        <w:snapToGrid w:val="0"/>
        <w:spacing w:line="560" w:lineRule="exact"/>
        <w:ind w:firstLine="640" w:firstLineChars="200"/>
        <w:rPr>
          <w:rFonts w:hint="default" w:ascii="仿宋" w:hAnsi="仿宋" w:eastAsia="仿宋" w:cs="仿宋"/>
          <w:color w:val="auto"/>
        </w:rPr>
      </w:pPr>
      <w:bookmarkStart w:id="12" w:name="_Toc13921"/>
      <w:r>
        <w:rPr>
          <w:rFonts w:ascii="仿宋" w:hAnsi="仿宋" w:eastAsia="仿宋" w:cs="仿宋"/>
          <w:color w:val="auto"/>
        </w:rPr>
        <w:t>2.1</w:t>
      </w:r>
      <w:bookmarkEnd w:id="12"/>
      <w:r>
        <w:rPr>
          <w:rFonts w:ascii="仿宋" w:hAnsi="仿宋" w:eastAsia="仿宋" w:cs="仿宋"/>
          <w:color w:val="auto"/>
        </w:rPr>
        <w:t>服务地方发展</w:t>
      </w:r>
    </w:p>
    <w:p w14:paraId="2D0EEEA1">
      <w:pPr>
        <w:adjustRightInd w:val="0"/>
        <w:snapToGrid w:val="0"/>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为了更好的开展社会服务工作，我校教职员工</w:t>
      </w:r>
      <w:r>
        <w:rPr>
          <w:rFonts w:hint="eastAsia" w:ascii="仿宋" w:hAnsi="仿宋" w:eastAsia="仿宋" w:cs="仿宋"/>
          <w:color w:val="auto"/>
          <w:sz w:val="32"/>
          <w:szCs w:val="32"/>
          <w:lang w:eastAsia="zh-CN"/>
        </w:rPr>
        <w:t>、学生</w:t>
      </w:r>
      <w:r>
        <w:rPr>
          <w:rFonts w:hint="eastAsia" w:ascii="仿宋" w:hAnsi="仿宋" w:eastAsia="仿宋" w:cs="仿宋"/>
          <w:color w:val="auto"/>
          <w:sz w:val="32"/>
          <w:szCs w:val="32"/>
        </w:rPr>
        <w:t>利用自身优势，积极开展各类社会服务活动。</w:t>
      </w:r>
    </w:p>
    <w:p w14:paraId="1F96FEFD">
      <w:pPr>
        <w:adjustRightInd w:val="0"/>
        <w:snapToGrid w:val="0"/>
        <w:spacing w:line="560" w:lineRule="exact"/>
        <w:ind w:firstLine="640" w:firstLineChars="200"/>
        <w:rPr>
          <w:rFonts w:hint="default" w:ascii="仿宋" w:hAnsi="仿宋" w:eastAsia="仿宋" w:cs="仿宋"/>
          <w:color w:val="auto"/>
          <w:szCs w:val="32"/>
        </w:rPr>
      </w:pPr>
      <w:r>
        <w:rPr>
          <w:rFonts w:ascii="仿宋" w:hAnsi="仿宋" w:eastAsia="仿宋" w:cs="仿宋"/>
          <w:color w:val="auto"/>
          <w:szCs w:val="32"/>
        </w:rPr>
        <w:t>（1）志愿服务活动</w:t>
      </w:r>
    </w:p>
    <w:p w14:paraId="214D9F46">
      <w:pPr>
        <w:adjustRightInd w:val="0"/>
        <w:snapToGrid w:val="0"/>
        <w:spacing w:line="560" w:lineRule="exact"/>
        <w:ind w:firstLine="640" w:firstLineChars="200"/>
        <w:rPr>
          <w:rFonts w:hint="eastAsia" w:ascii="Times New Roman" w:hAnsi="Times New Roman" w:cs="Times New Roman"/>
          <w:color w:val="auto"/>
          <w:sz w:val="32"/>
          <w:szCs w:val="32"/>
          <w:lang w:eastAsia="zh-CN"/>
        </w:rPr>
      </w:pPr>
      <w:r>
        <w:rPr>
          <w:rFonts w:hint="eastAsia" w:ascii="Times New Roman" w:hAnsi="Times New Roman" w:eastAsia="仿宋_GB2312" w:cs="Times New Roman"/>
          <w:color w:val="auto"/>
          <w:sz w:val="32"/>
          <w:szCs w:val="32"/>
        </w:rPr>
        <w:t>深化近邻党建，带头强化“我为群众办实事”观念，通过开展移风易俗、垃圾分类、清洁家园、无偿献血、践行雷锋精神、国家安全教育、微心愿、慰问困难群众等志愿服务活动，持续学习贯彻习近平新时代中国特色社会主义思想，进一步推动党员干部为民服务精神，全年开展微心愿活动，慰问困难群众2次；慰问困难党员1次；进社区宣传移风易俗活动1次、开展“学雷锋”主题活动2次、开展“垃圾分类 清洁家园”等我为群众办实事活动13次</w:t>
      </w:r>
      <w:r>
        <w:rPr>
          <w:rFonts w:hint="eastAsia" w:ascii="Times New Roman" w:hAnsi="Times New Roman" w:cs="Times New Roman"/>
          <w:color w:val="auto"/>
          <w:sz w:val="32"/>
          <w:szCs w:val="32"/>
          <w:lang w:eastAsia="zh-CN"/>
        </w:rPr>
        <w:t>。</w:t>
      </w:r>
    </w:p>
    <w:p w14:paraId="7D24049A">
      <w:pPr>
        <w:adjustRightInd w:val="0"/>
        <w:snapToGrid w:val="0"/>
        <w:spacing w:line="560" w:lineRule="exact"/>
        <w:ind w:firstLine="640" w:firstLineChars="200"/>
        <w:rPr>
          <w:rFonts w:hint="default" w:ascii="仿宋" w:hAnsi="仿宋" w:eastAsia="仿宋" w:cs="仿宋"/>
          <w:color w:val="auto"/>
          <w:szCs w:val="32"/>
        </w:rPr>
      </w:pPr>
      <w:r>
        <w:rPr>
          <w:rFonts w:ascii="仿宋" w:hAnsi="仿宋" w:eastAsia="仿宋" w:cs="仿宋"/>
          <w:color w:val="auto"/>
          <w:szCs w:val="32"/>
        </w:rPr>
        <w:t>为进一步深入学习贯彻习近平总书记关于青年工作的重要思想和关于志愿服务的重要指示精神，引导我校青年团员在志愿服务中提高思想觉悟、开拓视野、增长本领，学校组织团员学生参加各类志愿服务活动。结合学雷锋纪念日和国际志愿者服务日等节点，组织团员开展志愿服务条例学习及“我奉献 我快乐”主题团课，带领团员走进公园社区和程厝社区开展“弘扬雷锋精神 争做志愿青年”志愿服务活动和“垃圾不落地，文明添福气”志愿服务活动，前往市二福利院开展“秉承志愿精神 弘扬时代新风”志愿服务活动，并在校园内开展了“光盘行动 节约粮食”志愿服务活动和“垃圾不落地，校园更美丽”志愿服务活动。此外，团委委员还参加了市委市直机关工委联合市水利局赴永泰县赤锡乡组织开展“学雷锋，树新风，争做护河爱水新青年”志愿服务活动。</w:t>
      </w:r>
    </w:p>
    <w:p w14:paraId="1C8A1462">
      <w:pPr>
        <w:adjustRightInd w:val="0"/>
        <w:snapToGrid w:val="0"/>
        <w:spacing w:line="560" w:lineRule="exact"/>
        <w:ind w:firstLine="640" w:firstLineChars="200"/>
        <w:rPr>
          <w:rFonts w:hint="default" w:ascii="仿宋" w:hAnsi="仿宋" w:eastAsia="仿宋" w:cs="仿宋"/>
          <w:color w:val="auto"/>
          <w:szCs w:val="32"/>
        </w:rPr>
      </w:pPr>
      <w:r>
        <w:rPr>
          <w:rFonts w:ascii="仿宋" w:hAnsi="仿宋" w:eastAsia="仿宋" w:cs="仿宋"/>
          <w:color w:val="auto"/>
          <w:szCs w:val="32"/>
        </w:rPr>
        <w:t>（2）服务基层学校</w:t>
      </w:r>
    </w:p>
    <w:p w14:paraId="349ED9E0">
      <w:pPr>
        <w:tabs>
          <w:tab w:val="left" w:pos="885"/>
        </w:tabs>
        <w:ind w:firstLine="640" w:firstLineChars="200"/>
        <w:rPr>
          <w:rFonts w:hint="default" w:ascii="Times New Roman" w:hAnsi="Times New Roman"/>
          <w:color w:val="auto"/>
          <w:szCs w:val="32"/>
        </w:rPr>
      </w:pPr>
      <w:r>
        <w:rPr>
          <w:rFonts w:ascii="仿宋_GB2312" w:hAnsi="仿宋_GB2312" w:cs="仿宋_GB2312"/>
          <w:color w:val="auto"/>
          <w:szCs w:val="32"/>
          <w:lang w:val="zh-CN"/>
        </w:rPr>
        <w:t>学校2023—2024学年</w:t>
      </w:r>
      <w:r>
        <w:rPr>
          <w:rFonts w:ascii="Times New Roman" w:hAnsi="Times New Roman"/>
          <w:color w:val="auto"/>
          <w:szCs w:val="32"/>
        </w:rPr>
        <w:t>利用寒、暑期组织开展体育优秀苗子集训营，组织仓山区少体校、鼓楼区体校、长乐区体校、闽侯县体校等各级基层体校以及台三小、福州市麦顶小学，福州市仓山小学、十六中等体育传统项目中小学共267名优秀运动苗子参加射击、射箭、篮排球、乒乓球等项目的集训。我校利用自身的专业特长和技术优势，把最新技术和科学理念带到学校，不仅为学校创建运动队和兴趣小组提供有利条件和技术指导，也为创建体育特色校打下基础，受到基层学校师生的热烈欢迎。</w:t>
      </w:r>
    </w:p>
    <w:p w14:paraId="5F6B05A3">
      <w:pPr>
        <w:pStyle w:val="9"/>
        <w:rPr>
          <w:color w:val="auto"/>
        </w:rPr>
      </w:pPr>
      <w:r>
        <w:rPr>
          <w:rFonts w:ascii="仿宋" w:hAnsi="仿宋" w:eastAsia="仿宋" w:cs="仿宋"/>
          <w:color w:val="auto"/>
          <w:sz w:val="28"/>
          <w:szCs w:val="28"/>
        </w:rPr>
        <w:drawing>
          <wp:inline distT="0" distB="0" distL="0" distR="0">
            <wp:extent cx="5266690" cy="3949700"/>
            <wp:effectExtent l="0" t="0" r="10160" b="12700"/>
            <wp:docPr id="5" name="图片 0" descr="微信图片_202411130952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微信图片_20241113095237.jpg"/>
                    <pic:cNvPicPr>
                      <a:picLocks noChangeAspect="1"/>
                    </pic:cNvPicPr>
                  </pic:nvPicPr>
                  <pic:blipFill>
                    <a:blip r:embed="rId8" cstate="print"/>
                    <a:stretch>
                      <a:fillRect/>
                    </a:stretch>
                  </pic:blipFill>
                  <pic:spPr>
                    <a:xfrm>
                      <a:off x="0" y="0"/>
                      <a:ext cx="5266690" cy="3949700"/>
                    </a:xfrm>
                    <a:prstGeom prst="rect">
                      <a:avLst/>
                    </a:prstGeom>
                  </pic:spPr>
                </pic:pic>
              </a:graphicData>
            </a:graphic>
          </wp:inline>
        </w:drawing>
      </w:r>
    </w:p>
    <w:p w14:paraId="7F88877F">
      <w:pPr>
        <w:pStyle w:val="9"/>
        <w:rPr>
          <w:color w:val="auto"/>
        </w:rPr>
      </w:pPr>
    </w:p>
    <w:p w14:paraId="4DCFBB3B">
      <w:pPr>
        <w:adjustRightInd w:val="0"/>
        <w:snapToGrid w:val="0"/>
        <w:spacing w:line="560" w:lineRule="exact"/>
        <w:jc w:val="center"/>
        <w:rPr>
          <w:rFonts w:hint="default" w:ascii="仿宋" w:hAnsi="仿宋" w:eastAsia="仿宋" w:cs="仿宋"/>
          <w:color w:val="auto"/>
          <w:szCs w:val="32"/>
        </w:rPr>
      </w:pPr>
      <w:r>
        <w:rPr>
          <w:rFonts w:ascii="仿宋" w:hAnsi="仿宋" w:eastAsia="仿宋" w:cs="仿宋"/>
          <w:color w:val="auto"/>
          <w:szCs w:val="32"/>
        </w:rPr>
        <w:t>图</w:t>
      </w:r>
      <w:r>
        <w:rPr>
          <w:rFonts w:hint="eastAsia" w:ascii="仿宋" w:hAnsi="仿宋" w:eastAsia="仿宋" w:cs="仿宋"/>
          <w:color w:val="auto"/>
          <w:szCs w:val="32"/>
          <w:lang w:val="en-US" w:eastAsia="zh-CN"/>
        </w:rPr>
        <w:t>2</w:t>
      </w:r>
      <w:r>
        <w:rPr>
          <w:rFonts w:ascii="仿宋" w:hAnsi="仿宋" w:eastAsia="仿宋" w:cs="仿宋"/>
          <w:color w:val="auto"/>
          <w:szCs w:val="32"/>
        </w:rPr>
        <w:t xml:space="preserve"> 篮球队下基层学校选拔优秀苗子</w:t>
      </w:r>
    </w:p>
    <w:p w14:paraId="6C25BDF7">
      <w:pPr>
        <w:adjustRightInd w:val="0"/>
        <w:snapToGrid w:val="0"/>
        <w:spacing w:line="560" w:lineRule="exact"/>
        <w:ind w:firstLine="640" w:firstLineChars="200"/>
        <w:rPr>
          <w:rFonts w:hint="default" w:ascii="仿宋" w:hAnsi="仿宋" w:eastAsia="仿宋" w:cs="仿宋"/>
          <w:color w:val="auto"/>
          <w:szCs w:val="32"/>
        </w:rPr>
      </w:pPr>
      <w:r>
        <w:rPr>
          <w:rFonts w:ascii="仿宋" w:hAnsi="仿宋" w:eastAsia="仿宋" w:cs="仿宋"/>
          <w:color w:val="auto"/>
          <w:szCs w:val="32"/>
        </w:rPr>
        <w:t>2.2对口帮扶</w:t>
      </w:r>
    </w:p>
    <w:p w14:paraId="4D130CFF">
      <w:p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为了更好的开展</w:t>
      </w:r>
      <w:r>
        <w:rPr>
          <w:rFonts w:hint="eastAsia" w:ascii="仿宋" w:hAnsi="仿宋" w:eastAsia="仿宋" w:cs="仿宋"/>
          <w:color w:val="auto"/>
          <w:sz w:val="32"/>
          <w:szCs w:val="32"/>
          <w:lang w:eastAsia="zh-CN"/>
        </w:rPr>
        <w:t>对口帮扶</w:t>
      </w:r>
      <w:r>
        <w:rPr>
          <w:rFonts w:hint="eastAsia" w:ascii="仿宋" w:hAnsi="仿宋" w:eastAsia="仿宋" w:cs="仿宋"/>
          <w:color w:val="auto"/>
          <w:sz w:val="32"/>
          <w:szCs w:val="32"/>
        </w:rPr>
        <w:t>工作，我校教职员工利用自身优势，积极</w:t>
      </w:r>
      <w:r>
        <w:rPr>
          <w:rFonts w:hint="eastAsia" w:ascii="仿宋" w:hAnsi="仿宋" w:eastAsia="仿宋" w:cs="仿宋"/>
          <w:color w:val="auto"/>
          <w:sz w:val="32"/>
          <w:szCs w:val="32"/>
          <w:lang w:eastAsia="zh-CN"/>
        </w:rPr>
        <w:t>响应社会号召，</w:t>
      </w:r>
      <w:r>
        <w:rPr>
          <w:rFonts w:hint="eastAsia" w:ascii="仿宋" w:hAnsi="仿宋" w:eastAsia="仿宋" w:cs="仿宋"/>
          <w:color w:val="auto"/>
          <w:sz w:val="32"/>
          <w:szCs w:val="32"/>
        </w:rPr>
        <w:t>开展各类</w:t>
      </w:r>
      <w:r>
        <w:rPr>
          <w:rFonts w:hint="eastAsia" w:ascii="仿宋" w:hAnsi="仿宋" w:eastAsia="仿宋" w:cs="仿宋"/>
          <w:color w:val="auto"/>
          <w:sz w:val="32"/>
          <w:szCs w:val="32"/>
          <w:lang w:eastAsia="zh-CN"/>
        </w:rPr>
        <w:t>对口帮扶</w:t>
      </w:r>
      <w:r>
        <w:rPr>
          <w:rFonts w:hint="eastAsia" w:ascii="仿宋" w:hAnsi="仿宋" w:eastAsia="仿宋" w:cs="仿宋"/>
          <w:color w:val="auto"/>
          <w:sz w:val="32"/>
          <w:szCs w:val="32"/>
        </w:rPr>
        <w:t>活动。</w:t>
      </w:r>
    </w:p>
    <w:p w14:paraId="4913F413">
      <w:pPr>
        <w:spacing w:line="360" w:lineRule="auto"/>
        <w:ind w:firstLine="640" w:firstLineChars="200"/>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1、党员对口帮扶活动</w:t>
      </w:r>
    </w:p>
    <w:p w14:paraId="0DC61554">
      <w:pPr>
        <w:spacing w:line="360" w:lineRule="auto"/>
        <w:ind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为切实加强耕地资源保护利用，增加农民及村集体收入，学校党总支按照上级党委要求，开展“我在寿山有亩田”认领帮扶活动，每位在职党员自愿捐助40元认种寿山乡江南竹村1.2亩耕地种植甘薯。</w:t>
      </w:r>
    </w:p>
    <w:p w14:paraId="05121B24">
      <w:pPr>
        <w:spacing w:line="360" w:lineRule="auto"/>
        <w:ind w:firstLine="640" w:firstLineChars="200"/>
        <w:rPr>
          <w:rFonts w:hint="default" w:ascii="Times New Roman" w:hAnsi="Times New Roman"/>
          <w:color w:val="auto"/>
          <w:szCs w:val="32"/>
        </w:rPr>
      </w:pPr>
      <w:r>
        <w:rPr>
          <w:rFonts w:ascii="Times New Roman" w:hAnsi="Times New Roman"/>
          <w:color w:val="auto"/>
          <w:szCs w:val="32"/>
        </w:rPr>
        <w:t>2、体育项目训练帮扶</w:t>
      </w:r>
    </w:p>
    <w:p w14:paraId="3FE216B4">
      <w:pPr>
        <w:spacing w:line="360" w:lineRule="auto"/>
        <w:ind w:firstLine="640" w:firstLineChars="200"/>
        <w:rPr>
          <w:rFonts w:hint="default" w:ascii="仿宋" w:hAnsi="仿宋" w:eastAsia="仿宋" w:cs="仿宋"/>
          <w:color w:val="auto"/>
          <w:szCs w:val="32"/>
          <w:lang w:val="zh-CN"/>
        </w:rPr>
      </w:pPr>
      <w:r>
        <w:rPr>
          <w:rFonts w:ascii="仿宋" w:hAnsi="仿宋" w:eastAsia="仿宋" w:cs="仿宋"/>
          <w:color w:val="auto"/>
          <w:szCs w:val="32"/>
        </w:rPr>
        <w:t>为更好促进专业建设，整合资源巩固优势，同时</w:t>
      </w:r>
      <w:r>
        <w:rPr>
          <w:rFonts w:ascii="仿宋" w:hAnsi="仿宋" w:eastAsia="仿宋" w:cs="仿宋"/>
          <w:color w:val="auto"/>
          <w:szCs w:val="32"/>
          <w:lang w:val="zh-CN"/>
        </w:rPr>
        <w:t>指导基层网点的体育项目训练，提升基层网点教练员的专业技能和训练水平及其所开展项目的提高。学校与仓山区少体校、晋安区少体校、台江区少体校共建长期基层训练网点，2024年与马尾区少体校、仓山区少体校签订摔跤、网球女队市县联办协议，与</w:t>
      </w:r>
      <w:r>
        <w:rPr>
          <w:rFonts w:ascii="仿宋" w:hAnsi="仿宋" w:eastAsia="仿宋" w:cs="仿宋"/>
          <w:color w:val="auto"/>
          <w:szCs w:val="32"/>
        </w:rPr>
        <w:t>福建爱动塔普体育文化发展有限公司签订网球男队</w:t>
      </w:r>
      <w:r>
        <w:rPr>
          <w:rFonts w:ascii="仿宋" w:hAnsi="仿宋" w:eastAsia="仿宋" w:cs="仿宋"/>
          <w:color w:val="auto"/>
          <w:szCs w:val="32"/>
          <w:lang w:val="zh-CN"/>
        </w:rPr>
        <w:t>社会力量兴办竞技体育协议，与福州贝特体育服务有限公司共建高尔夫球项目校外实训基地，充分发挥俱乐部自身优势，更好地培养高素质体育后备人才。</w:t>
      </w:r>
    </w:p>
    <w:p w14:paraId="5075ECCB">
      <w:pPr>
        <w:pStyle w:val="15"/>
        <w:shd w:val="clear" w:color="auto" w:fill="FFFFFF"/>
        <w:adjustRightInd w:val="0"/>
        <w:snapToGrid w:val="0"/>
        <w:spacing w:before="0" w:beforeAutospacing="0" w:after="0" w:afterAutospacing="0" w:line="560" w:lineRule="exact"/>
        <w:jc w:val="both"/>
        <w:rPr>
          <w:rFonts w:ascii="仿宋" w:hAnsi="仿宋" w:eastAsia="仿宋" w:cs="仿宋"/>
          <w:color w:val="auto"/>
          <w:sz w:val="32"/>
          <w:szCs w:val="32"/>
        </w:rPr>
      </w:pPr>
      <w:r>
        <w:rPr>
          <w:rFonts w:ascii="仿宋" w:hAnsi="仿宋" w:eastAsia="仿宋" w:cs="仿宋"/>
          <w:color w:val="auto"/>
          <w:sz w:val="32"/>
          <w:szCs w:val="32"/>
        </w:rPr>
        <w:t>典型案例</w:t>
      </w:r>
      <w:r>
        <w:rPr>
          <w:rFonts w:hint="eastAsia" w:ascii="仿宋" w:hAnsi="仿宋" w:eastAsia="仿宋" w:cs="仿宋"/>
          <w:color w:val="auto"/>
          <w:sz w:val="32"/>
          <w:szCs w:val="32"/>
          <w:lang w:val="en-US" w:eastAsia="zh-CN"/>
        </w:rPr>
        <w:t>2</w:t>
      </w:r>
      <w:r>
        <w:rPr>
          <w:rFonts w:ascii="仿宋" w:hAnsi="仿宋" w:eastAsia="仿宋" w:cs="仿宋"/>
          <w:color w:val="auto"/>
          <w:sz w:val="32"/>
          <w:szCs w:val="32"/>
        </w:rPr>
        <w:t>：</w:t>
      </w:r>
    </w:p>
    <w:p w14:paraId="2678C1B3">
      <w:pPr>
        <w:pStyle w:val="15"/>
        <w:shd w:val="clear" w:color="auto" w:fill="FFFFFF"/>
        <w:adjustRightInd w:val="0"/>
        <w:snapToGrid w:val="0"/>
        <w:spacing w:before="0" w:beforeAutospacing="0" w:after="0" w:afterAutospacing="0" w:line="560" w:lineRule="exact"/>
        <w:jc w:val="center"/>
        <w:rPr>
          <w:rFonts w:hint="eastAsia" w:ascii="仿宋" w:hAnsi="仿宋" w:eastAsia="仿宋" w:cs="仿宋"/>
          <w:color w:val="auto"/>
          <w:sz w:val="32"/>
          <w:szCs w:val="32"/>
          <w:lang w:eastAsia="zh-CN"/>
        </w:rPr>
      </w:pPr>
      <w:r>
        <w:rPr>
          <w:rFonts w:ascii="仿宋" w:hAnsi="仿宋" w:eastAsia="仿宋" w:cs="仿宋"/>
          <w:color w:val="auto"/>
          <w:sz w:val="32"/>
          <w:szCs w:val="32"/>
        </w:rPr>
        <w:t>市县联办</w:t>
      </w:r>
      <w:r>
        <w:rPr>
          <w:rFonts w:hint="eastAsia" w:ascii="仿宋" w:hAnsi="仿宋" w:eastAsia="仿宋" w:cs="仿宋"/>
          <w:color w:val="auto"/>
          <w:sz w:val="32"/>
          <w:szCs w:val="32"/>
          <w:lang w:eastAsia="zh-CN"/>
        </w:rPr>
        <w:t>促发展</w:t>
      </w:r>
    </w:p>
    <w:p w14:paraId="1EAFEA82">
      <w:pPr>
        <w:ind w:firstLine="640" w:firstLineChars="200"/>
        <w:rPr>
          <w:rFonts w:hint="default" w:ascii="仿宋" w:hAnsi="仿宋" w:eastAsia="仿宋" w:cs="仿宋"/>
          <w:color w:val="auto"/>
          <w:szCs w:val="32"/>
        </w:rPr>
      </w:pPr>
      <w:r>
        <w:rPr>
          <w:rFonts w:ascii="仿宋" w:hAnsi="仿宋" w:eastAsia="仿宋" w:cs="仿宋"/>
          <w:color w:val="auto"/>
          <w:szCs w:val="32"/>
        </w:rPr>
        <w:t>学校摔跤队与马尾区体校签订摔跤乙组的市县联办协议，通过市县联办这种形式建立队伍之间的帮扶工作。通过紧密合作与资源共享，成功提升了基层摔跤运动的竞技水平，激发了青少年的摔跤热情。</w:t>
      </w:r>
    </w:p>
    <w:p w14:paraId="15FEDC47">
      <w:pPr>
        <w:ind w:firstLine="640" w:firstLineChars="200"/>
        <w:rPr>
          <w:rFonts w:hint="default" w:ascii="仿宋" w:hAnsi="仿宋" w:eastAsia="仿宋" w:cs="仿宋"/>
          <w:color w:val="auto"/>
          <w:szCs w:val="32"/>
        </w:rPr>
      </w:pPr>
      <w:r>
        <w:rPr>
          <w:rFonts w:ascii="仿宋" w:hAnsi="仿宋" w:eastAsia="仿宋" w:cs="仿宋"/>
          <w:color w:val="auto"/>
          <w:szCs w:val="32"/>
        </w:rPr>
        <w:t>市体校摔跤队派遣专业教练带领队伍定期去马尾体校训练，进行技术指导，不仅规范了基层运动员的技术动作，还传授了先进的战术理念。也会开放市体校摔跤训练场地，邀请区体校优秀运动员与市队合练。这些举措有效提升了基层摔跤队的整体实力，在帮扶过程中，市队教练组注重与马尾区教练的沟通与协作，共同探索适合基层的训练方法。通过定期举办研讨会和交流活动，马尾区教练的执教能力得到了显著提升。此外，我们还为马尾区摔跤队运动员提供了参与省级比赛的机会，让他们在实践中锻炼成长。在2024年的省青少年摔跤锦标赛和26届福州市运动会摔跤比赛中马尾区摔跤队运动员争金夺银，频获佳绩。</w:t>
      </w:r>
    </w:p>
    <w:p w14:paraId="502A36EA">
      <w:pPr>
        <w:ind w:firstLine="640" w:firstLineChars="200"/>
        <w:rPr>
          <w:rFonts w:hint="default" w:ascii="仿宋" w:hAnsi="仿宋" w:eastAsia="仿宋" w:cs="仿宋"/>
          <w:color w:val="auto"/>
          <w:szCs w:val="32"/>
        </w:rPr>
      </w:pPr>
      <w:r>
        <w:rPr>
          <w:rFonts w:ascii="仿宋" w:hAnsi="仿宋" w:eastAsia="仿宋" w:cs="仿宋"/>
          <w:color w:val="auto"/>
          <w:szCs w:val="32"/>
        </w:rPr>
        <w:t>帮扶工作不仅提升了马尾区摔跤队的竞技水平，更激发了马尾区青少年对摔跤运动的热爱。越来越多的孩子参与到摔跤训练中，马尾区摔跤进校园的摔跤课程报名人数也大幅增加，这不仅为福州市摔跤运动储备了人才，也为青少年的全面发展提供了更多可能。</w:t>
      </w:r>
    </w:p>
    <w:p w14:paraId="7E020513">
      <w:pPr>
        <w:spacing w:line="360" w:lineRule="auto"/>
        <w:ind w:firstLine="640" w:firstLineChars="200"/>
        <w:rPr>
          <w:rFonts w:hint="eastAsia" w:ascii="仿宋" w:hAnsi="仿宋" w:eastAsia="仿宋" w:cs="仿宋"/>
          <w:color w:val="auto"/>
          <w:sz w:val="32"/>
          <w:szCs w:val="32"/>
        </w:rPr>
      </w:pPr>
      <w:r>
        <w:rPr>
          <w:rFonts w:ascii="仿宋" w:hAnsi="仿宋" w:eastAsia="仿宋" w:cs="仿宋"/>
          <w:color w:val="auto"/>
          <w:szCs w:val="32"/>
        </w:rPr>
        <w:drawing>
          <wp:inline distT="0" distB="0" distL="0" distR="0">
            <wp:extent cx="2457450" cy="3385820"/>
            <wp:effectExtent l="0" t="0" r="0" b="5080"/>
            <wp:docPr id="6" name="图片 0" descr="微信图片_202412181522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微信图片_20241218152219.jpg"/>
                    <pic:cNvPicPr>
                      <a:picLocks noChangeAspect="1"/>
                    </pic:cNvPicPr>
                  </pic:nvPicPr>
                  <pic:blipFill>
                    <a:blip r:embed="rId9" cstate="print"/>
                    <a:stretch>
                      <a:fillRect/>
                    </a:stretch>
                  </pic:blipFill>
                  <pic:spPr>
                    <a:xfrm>
                      <a:off x="0" y="0"/>
                      <a:ext cx="2457450" cy="3385873"/>
                    </a:xfrm>
                    <a:prstGeom prst="rect">
                      <a:avLst/>
                    </a:prstGeom>
                  </pic:spPr>
                </pic:pic>
              </a:graphicData>
            </a:graphic>
          </wp:inline>
        </w:drawing>
      </w:r>
    </w:p>
    <w:p w14:paraId="3BD587FA">
      <w:pPr>
        <w:spacing w:line="360" w:lineRule="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图</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val="zh-CN"/>
        </w:rPr>
        <w:t>：摔跤队定期去马尾体校训练，提高基层训练技术水平</w:t>
      </w:r>
    </w:p>
    <w:p w14:paraId="2E65EA77">
      <w:pPr>
        <w:pStyle w:val="3"/>
        <w:keepNext w:val="0"/>
        <w:keepLines w:val="0"/>
        <w:adjustRightInd w:val="0"/>
        <w:snapToGrid w:val="0"/>
        <w:spacing w:line="560" w:lineRule="exact"/>
        <w:rPr>
          <w:rFonts w:hint="default" w:ascii="仿宋" w:hAnsi="仿宋" w:eastAsia="仿宋" w:cs="仿宋"/>
          <w:color w:val="auto"/>
        </w:rPr>
      </w:pPr>
      <w:r>
        <w:rPr>
          <w:rFonts w:ascii="仿宋" w:hAnsi="仿宋" w:eastAsia="仿宋" w:cs="仿宋"/>
          <w:color w:val="auto"/>
        </w:rPr>
        <w:t>3 文化传承</w:t>
      </w:r>
    </w:p>
    <w:p w14:paraId="5859C240">
      <w:pPr>
        <w:pStyle w:val="4"/>
        <w:keepNext w:val="0"/>
        <w:keepLines w:val="0"/>
        <w:adjustRightInd w:val="0"/>
        <w:snapToGrid w:val="0"/>
        <w:spacing w:line="560" w:lineRule="exact"/>
        <w:ind w:firstLine="640" w:firstLineChars="200"/>
        <w:rPr>
          <w:rFonts w:hint="default" w:ascii="仿宋" w:hAnsi="仿宋" w:eastAsia="仿宋" w:cs="仿宋"/>
          <w:color w:val="auto"/>
        </w:rPr>
      </w:pPr>
      <w:r>
        <w:rPr>
          <w:rFonts w:ascii="仿宋" w:hAnsi="仿宋" w:eastAsia="仿宋" w:cs="仿宋"/>
          <w:color w:val="auto"/>
        </w:rPr>
        <w:t>3.1专业设置</w:t>
      </w:r>
    </w:p>
    <w:p w14:paraId="45419EDA">
      <w:pPr>
        <w:adjustRightInd w:val="0"/>
        <w:snapToGrid w:val="0"/>
        <w:spacing w:line="560" w:lineRule="exact"/>
        <w:ind w:firstLine="640" w:firstLineChars="200"/>
        <w:rPr>
          <w:rFonts w:hint="default" w:ascii="仿宋" w:hAnsi="仿宋" w:eastAsia="仿宋" w:cs="仿宋"/>
          <w:color w:val="auto"/>
          <w:szCs w:val="32"/>
        </w:rPr>
      </w:pPr>
      <w:r>
        <w:rPr>
          <w:rFonts w:ascii="仿宋" w:hAnsi="仿宋" w:eastAsia="仿宋" w:cs="仿宋"/>
          <w:color w:val="auto"/>
          <w:szCs w:val="32"/>
        </w:rPr>
        <w:t>学校开设运动训练专业，主要为福州市体育事业的发展提供人才支撑、知识贡献和社会服务，培养与我国社会主义现代化建设要求相适应的，德、智、体、美等方面全面发展，具有全面素质、具备高中文化水平的各级各类运动员，特别是优秀运动员的后备人才。毕业生主要面向专业队、社区、街道等机构、社会体育行业（岗位群、技术领域），从事业余训练、中小学（学前教育）体育教育以及企事业单位、社区等机构及社会组织的社会体育指导、行业俱乐部及体育赛事组织与管理工作，并向体育专业队及全国体育高等院校输送的高水平体育后备人才。</w:t>
      </w:r>
    </w:p>
    <w:p w14:paraId="303051EB">
      <w:pPr>
        <w:adjustRightInd w:val="0"/>
        <w:snapToGrid w:val="0"/>
        <w:spacing w:line="560" w:lineRule="exact"/>
        <w:ind w:firstLine="640" w:firstLineChars="200"/>
        <w:rPr>
          <w:rFonts w:hint="default" w:ascii="仿宋" w:hAnsi="仿宋" w:eastAsia="仿宋" w:cs="仿宋"/>
          <w:color w:val="auto"/>
          <w:szCs w:val="32"/>
        </w:rPr>
      </w:pPr>
      <w:r>
        <w:rPr>
          <w:rFonts w:ascii="仿宋" w:hAnsi="仿宋" w:eastAsia="仿宋" w:cs="仿宋"/>
          <w:color w:val="auto"/>
          <w:szCs w:val="32"/>
        </w:rPr>
        <w:t>学校重视专业建设，制订了运动训练专业人才培养方案，重构课程体系，确定培养规格，遵循学生的认知规律及运动员成长规律，形成融合学生文化素养、体育专业知识、体育专项技能和体育运动团结协作、积极向上的职业精神培养体系。以读训并重、学练结合、积极参加各级别赛事的形式，作为人才培养模式改革的重要切入点，实现对优秀运动员后备人才的培养。</w:t>
      </w:r>
    </w:p>
    <w:p w14:paraId="053126B5">
      <w:pPr>
        <w:pStyle w:val="4"/>
        <w:keepNext w:val="0"/>
        <w:keepLines w:val="0"/>
        <w:adjustRightInd w:val="0"/>
        <w:snapToGrid w:val="0"/>
        <w:spacing w:line="560" w:lineRule="exact"/>
        <w:ind w:firstLine="640" w:firstLineChars="200"/>
        <w:rPr>
          <w:rFonts w:hint="default" w:ascii="仿宋" w:hAnsi="仿宋" w:eastAsia="仿宋" w:cs="仿宋"/>
          <w:color w:val="auto"/>
        </w:rPr>
      </w:pPr>
      <w:r>
        <w:rPr>
          <w:rFonts w:ascii="仿宋" w:hAnsi="仿宋" w:eastAsia="仿宋" w:cs="仿宋"/>
          <w:color w:val="auto"/>
        </w:rPr>
        <w:t>3.2课程设置</w:t>
      </w:r>
    </w:p>
    <w:p w14:paraId="33CB3C57">
      <w:pPr>
        <w:adjustRightInd w:val="0"/>
        <w:snapToGrid w:val="0"/>
        <w:spacing w:line="560" w:lineRule="exact"/>
        <w:ind w:firstLine="640" w:firstLineChars="200"/>
        <w:jc w:val="left"/>
        <w:rPr>
          <w:rFonts w:hint="default" w:ascii="仿宋" w:hAnsi="仿宋" w:eastAsia="仿宋" w:cs="仿宋"/>
          <w:color w:val="auto"/>
          <w:szCs w:val="32"/>
        </w:rPr>
      </w:pPr>
      <w:r>
        <w:rPr>
          <w:rFonts w:ascii="仿宋" w:hAnsi="仿宋" w:eastAsia="仿宋" w:cs="仿宋"/>
          <w:color w:val="auto"/>
          <w:szCs w:val="32"/>
        </w:rPr>
        <w:t>课程内容与体育专业标准对接，课程设置及教学安排符合国家有关规定，专业标准及课程标准按要求执行，课程开设严格执行实施性教学计划。设置的运动训练专业与本科院校、高职院校中体育相关专业设置相对接，拓宽了学生的升学渠道。</w:t>
      </w:r>
    </w:p>
    <w:p w14:paraId="21D77747">
      <w:pPr>
        <w:adjustRightInd w:val="0"/>
        <w:snapToGrid w:val="0"/>
        <w:spacing w:line="560" w:lineRule="exact"/>
        <w:ind w:firstLine="640" w:firstLineChars="200"/>
        <w:jc w:val="left"/>
        <w:rPr>
          <w:rFonts w:hint="default" w:ascii="仿宋" w:hAnsi="仿宋" w:eastAsia="仿宋" w:cs="仿宋"/>
          <w:color w:val="auto"/>
          <w:szCs w:val="32"/>
        </w:rPr>
      </w:pPr>
      <w:r>
        <w:rPr>
          <w:rFonts w:ascii="仿宋" w:hAnsi="仿宋" w:eastAsia="仿宋" w:cs="仿宋"/>
          <w:color w:val="auto"/>
          <w:szCs w:val="32"/>
        </w:rPr>
        <w:t>本专业课程主要包括公共基础课程和专业技能课程。</w:t>
      </w:r>
    </w:p>
    <w:p w14:paraId="4BC2F2D1">
      <w:pPr>
        <w:adjustRightInd w:val="0"/>
        <w:snapToGrid w:val="0"/>
        <w:spacing w:line="560" w:lineRule="exact"/>
        <w:ind w:firstLine="640" w:firstLineChars="200"/>
        <w:jc w:val="left"/>
        <w:rPr>
          <w:rFonts w:hint="default" w:ascii="仿宋" w:hAnsi="仿宋" w:eastAsia="仿宋" w:cs="仿宋"/>
          <w:color w:val="auto"/>
          <w:szCs w:val="32"/>
        </w:rPr>
      </w:pPr>
      <w:r>
        <w:rPr>
          <w:rFonts w:ascii="仿宋" w:hAnsi="仿宋" w:eastAsia="仿宋" w:cs="仿宋"/>
          <w:color w:val="auto"/>
          <w:szCs w:val="32"/>
        </w:rPr>
        <w:t>公共基础课程包括思想政治（含中国特色社会主义、心理健康与职业生涯、哲学与人生、职业道德与法治）、语文、数学、英语、历史、信息技术（计算机应用基础）、公共艺术、体育与健康、中华优秀传统文化和职业生涯规划。</w:t>
      </w:r>
    </w:p>
    <w:p w14:paraId="654884A0">
      <w:pPr>
        <w:adjustRightInd w:val="0"/>
        <w:snapToGrid w:val="0"/>
        <w:spacing w:line="560" w:lineRule="exact"/>
        <w:ind w:firstLine="640" w:firstLineChars="200"/>
        <w:jc w:val="left"/>
        <w:rPr>
          <w:rFonts w:hint="default" w:ascii="仿宋" w:hAnsi="仿宋" w:eastAsia="仿宋" w:cs="仿宋"/>
          <w:color w:val="auto"/>
          <w:szCs w:val="32"/>
        </w:rPr>
      </w:pPr>
      <w:r>
        <w:rPr>
          <w:rFonts w:ascii="仿宋" w:hAnsi="仿宋" w:eastAsia="仿宋" w:cs="仿宋"/>
          <w:color w:val="auto"/>
          <w:szCs w:val="32"/>
        </w:rPr>
        <w:t>专业技能课程包括专业基础课程（核心课程）和技能课程（实践性教学），专业基础课程包括运动人体科学概论、运动心理学基础、运动训练学基础、社会体育学基础、田径、球类运动和社会体育指导员。技能课程包括田径、篮球、武术、体操和专项训练及实习实训劳动教育，专项训练与实习实训劳动教育是本专业课程教学的重要内容，包含、劳动教育、跟岗实习等实习实训方式。</w:t>
      </w:r>
    </w:p>
    <w:p w14:paraId="40F68653">
      <w:pPr>
        <w:adjustRightInd w:val="0"/>
        <w:snapToGrid w:val="0"/>
        <w:spacing w:line="560" w:lineRule="exact"/>
        <w:ind w:firstLine="640" w:firstLineChars="200"/>
        <w:jc w:val="left"/>
        <w:rPr>
          <w:rFonts w:hint="default" w:ascii="仿宋" w:hAnsi="仿宋" w:eastAsia="仿宋" w:cs="仿宋"/>
          <w:color w:val="auto"/>
          <w:szCs w:val="32"/>
        </w:rPr>
      </w:pPr>
      <w:r>
        <w:rPr>
          <w:rFonts w:ascii="仿宋" w:hAnsi="仿宋" w:eastAsia="仿宋" w:cs="仿宋"/>
          <w:color w:val="auto"/>
          <w:szCs w:val="32"/>
        </w:rPr>
        <w:t>学生的专业教学注重因材施教，根据学生个人实际情况制定训练计划和教学模式。学校及训练部门加强对日常专业训练工作的检查和监管力度，落实训练教学大纲的完成与教案执行情况，抓好冬训、夏训，全面提升运动员学生身体素质与技战术水平，为全面完成在省级以上各项赛事中争金夺冠奠定基础。加强科训结合，强化重点运动员的监督与监控，全面开展运动员的生化指标与体能指标的测试，同时进一步完善运动员营养配餐与伤病员治疗与康复力度。</w:t>
      </w:r>
    </w:p>
    <w:p w14:paraId="4C67E1FE">
      <w:pPr>
        <w:pStyle w:val="4"/>
        <w:keepNext w:val="0"/>
        <w:keepLines w:val="0"/>
        <w:adjustRightInd w:val="0"/>
        <w:snapToGrid w:val="0"/>
        <w:spacing w:line="560" w:lineRule="exact"/>
        <w:ind w:firstLine="640" w:firstLineChars="200"/>
        <w:rPr>
          <w:rFonts w:hint="default" w:ascii="仿宋" w:hAnsi="仿宋" w:eastAsia="仿宋" w:cs="仿宋"/>
          <w:color w:val="auto"/>
        </w:rPr>
      </w:pPr>
      <w:bookmarkStart w:id="13" w:name="_Toc16209"/>
      <w:r>
        <w:rPr>
          <w:rFonts w:ascii="仿宋" w:hAnsi="仿宋" w:eastAsia="仿宋" w:cs="仿宋"/>
          <w:color w:val="auto"/>
        </w:rPr>
        <w:t>3.</w:t>
      </w:r>
      <w:bookmarkEnd w:id="13"/>
      <w:r>
        <w:rPr>
          <w:rFonts w:ascii="仿宋" w:hAnsi="仿宋" w:eastAsia="仿宋" w:cs="仿宋"/>
          <w:color w:val="auto"/>
        </w:rPr>
        <w:t>3课堂教学</w:t>
      </w:r>
    </w:p>
    <w:p w14:paraId="3BB5D3C7">
      <w:pPr>
        <w:adjustRightInd w:val="0"/>
        <w:snapToGrid w:val="0"/>
        <w:spacing w:line="560" w:lineRule="exact"/>
        <w:ind w:firstLine="640" w:firstLineChars="200"/>
        <w:rPr>
          <w:rFonts w:hint="default" w:ascii="仿宋" w:hAnsi="仿宋" w:eastAsia="仿宋" w:cs="仿宋"/>
          <w:color w:val="auto"/>
          <w:szCs w:val="32"/>
        </w:rPr>
      </w:pPr>
      <w:r>
        <w:rPr>
          <w:rFonts w:ascii="仿宋" w:hAnsi="仿宋" w:eastAsia="仿宋" w:cs="仿宋"/>
          <w:color w:val="auto"/>
          <w:szCs w:val="32"/>
        </w:rPr>
        <w:t>为了更好传承和弘扬中华优秀传统文化，我校把践行社会主义核心价值观放在首位，引导各类传统文化进课堂，进校园，在潜移默化中将传统文化和学校教育、学生成长实现深度融合。</w:t>
      </w:r>
    </w:p>
    <w:p w14:paraId="7A0C6CD3">
      <w:pPr>
        <w:adjustRightInd w:val="0"/>
        <w:snapToGrid w:val="0"/>
        <w:spacing w:line="560" w:lineRule="exact"/>
        <w:ind w:firstLine="640" w:firstLineChars="200"/>
        <w:rPr>
          <w:rFonts w:hint="default" w:ascii="仿宋" w:hAnsi="仿宋" w:eastAsia="仿宋" w:cs="仿宋"/>
          <w:color w:val="auto"/>
          <w:szCs w:val="32"/>
        </w:rPr>
      </w:pPr>
      <w:r>
        <w:rPr>
          <w:rFonts w:ascii="仿宋" w:hAnsi="仿宋" w:eastAsia="仿宋" w:cs="仿宋"/>
          <w:color w:val="auto"/>
          <w:szCs w:val="32"/>
        </w:rPr>
        <w:t>课堂是传承文化的主阵地，学校在课堂教学中积极开展文化传承工作，在课程中渗透中华优秀传统文化。语文课结合校内“经典诵读”和“读书月”活动，组织学生定期诵读中华经典，利用课前三分钟，以班级为单位诵读经典诗文。历史课引入与课程内容相关的文化元素，如历史背景、文化习俗、价值观等，从各种载体中发掘中华优秀传统文化的思想观念和人文精神。德育课深入挖掘传统文化所蕴涵的思政元素，丰富思政教学内容、传承弘扬传统文化。创新教学方式，多渠道熟悉中华民族传统节日文化内涵，体会节日文化，提高学生的文化思想意识，更好地提升自己的行为，助推社会治理的完善。其他科目也结合学科特点，积极融入人文元素，让显性的传统文化内容在其他课程中得到深入感知与隐性贯彻，发挥学科文化育人功能。</w:t>
      </w:r>
    </w:p>
    <w:p w14:paraId="210E1657">
      <w:pPr>
        <w:pStyle w:val="4"/>
        <w:keepNext w:val="0"/>
        <w:keepLines w:val="0"/>
        <w:adjustRightInd w:val="0"/>
        <w:snapToGrid w:val="0"/>
        <w:spacing w:line="560" w:lineRule="exact"/>
        <w:ind w:firstLine="640" w:firstLineChars="200"/>
        <w:rPr>
          <w:rFonts w:hint="default" w:ascii="仿宋" w:hAnsi="仿宋" w:eastAsia="仿宋" w:cs="仿宋"/>
          <w:color w:val="auto"/>
        </w:rPr>
      </w:pPr>
      <w:r>
        <w:rPr>
          <w:rFonts w:ascii="仿宋" w:hAnsi="仿宋" w:eastAsia="仿宋" w:cs="仿宋"/>
          <w:color w:val="auto"/>
        </w:rPr>
        <w:t>3.4校园文化活动</w:t>
      </w:r>
    </w:p>
    <w:p w14:paraId="4351526C">
      <w:pPr>
        <w:numPr>
          <w:ilvl w:val="0"/>
          <w:numId w:val="0"/>
        </w:numPr>
        <w:spacing w:line="360" w:lineRule="auto"/>
        <w:ind w:firstLine="640" w:firstLineChars="200"/>
        <w:rPr>
          <w:rFonts w:hint="eastAsia" w:ascii="仿宋" w:hAnsi="仿宋" w:eastAsia="仿宋" w:cs="仿宋"/>
          <w:color w:val="auto"/>
          <w:sz w:val="32"/>
          <w:szCs w:val="32"/>
          <w:lang w:eastAsia="zh-CN"/>
        </w:rPr>
      </w:pPr>
      <w:r>
        <w:rPr>
          <w:rFonts w:hint="eastAsia" w:ascii="仿宋" w:hAnsi="仿宋" w:eastAsia="仿宋" w:cs="仿宋"/>
          <w:i w:val="0"/>
          <w:caps w:val="0"/>
          <w:color w:val="auto"/>
          <w:spacing w:val="0"/>
          <w:sz w:val="32"/>
          <w:szCs w:val="32"/>
          <w:shd w:val="clear" w:fill="FFFFFF"/>
        </w:rPr>
        <w:t>校园文化活动，对于促进学生全面发展、增强校园凝聚力以及营造积极向上</w:t>
      </w:r>
      <w:r>
        <w:rPr>
          <w:rFonts w:hint="eastAsia" w:ascii="仿宋" w:hAnsi="仿宋" w:eastAsia="仿宋" w:cs="仿宋"/>
          <w:i w:val="0"/>
          <w:caps w:val="0"/>
          <w:color w:val="auto"/>
          <w:spacing w:val="0"/>
          <w:sz w:val="32"/>
          <w:szCs w:val="32"/>
          <w:shd w:val="clear" w:fill="FFFFFF"/>
          <w:lang w:eastAsia="zh-CN"/>
        </w:rPr>
        <w:t>的</w:t>
      </w:r>
      <w:r>
        <w:rPr>
          <w:rFonts w:hint="eastAsia" w:ascii="仿宋" w:hAnsi="仿宋" w:eastAsia="仿宋" w:cs="仿宋"/>
          <w:i w:val="0"/>
          <w:caps w:val="0"/>
          <w:color w:val="auto"/>
          <w:spacing w:val="0"/>
          <w:sz w:val="32"/>
          <w:szCs w:val="32"/>
          <w:shd w:val="clear" w:fill="FFFFFF"/>
        </w:rPr>
        <w:t>学习氛围</w:t>
      </w:r>
      <w:r>
        <w:rPr>
          <w:rFonts w:hint="eastAsia" w:ascii="仿宋" w:hAnsi="仿宋" w:eastAsia="仿宋" w:cs="仿宋"/>
          <w:i w:val="0"/>
          <w:caps w:val="0"/>
          <w:color w:val="auto"/>
          <w:spacing w:val="0"/>
          <w:sz w:val="32"/>
          <w:szCs w:val="32"/>
          <w:shd w:val="clear" w:fill="FFFFFF"/>
          <w:lang w:eastAsia="zh-CN"/>
        </w:rPr>
        <w:t>有</w:t>
      </w:r>
      <w:r>
        <w:rPr>
          <w:rFonts w:hint="eastAsia" w:ascii="仿宋" w:hAnsi="仿宋" w:eastAsia="仿宋" w:cs="仿宋"/>
          <w:i w:val="0"/>
          <w:caps w:val="0"/>
          <w:color w:val="auto"/>
          <w:spacing w:val="0"/>
          <w:sz w:val="32"/>
          <w:szCs w:val="32"/>
          <w:shd w:val="clear" w:fill="FFFFFF"/>
        </w:rPr>
        <w:t>重要作用。</w:t>
      </w:r>
      <w:r>
        <w:rPr>
          <w:rFonts w:hint="eastAsia" w:ascii="仿宋" w:hAnsi="仿宋" w:eastAsia="仿宋" w:cs="仿宋"/>
          <w:i w:val="0"/>
          <w:caps w:val="0"/>
          <w:color w:val="auto"/>
          <w:spacing w:val="0"/>
          <w:sz w:val="32"/>
          <w:szCs w:val="32"/>
          <w:shd w:val="clear" w:fill="FFFFFF"/>
          <w:lang w:val="en-US" w:eastAsia="zh-CN"/>
        </w:rPr>
        <w:t>本学年，</w:t>
      </w:r>
      <w:r>
        <w:rPr>
          <w:rFonts w:hint="eastAsia" w:ascii="仿宋" w:hAnsi="仿宋" w:eastAsia="仿宋" w:cs="仿宋"/>
          <w:color w:val="auto"/>
          <w:sz w:val="32"/>
          <w:szCs w:val="32"/>
          <w:lang w:eastAsia="zh-CN"/>
        </w:rPr>
        <w:t>学校注重通过开展各种形式的校园文化活动，丰富学生的精神世界，并以活动为载体，贯彻习近平新时代中国特色社会主义思想和党的二十大精神。一是通过主题班会、主题队会、主题团日、国旗下讲话等形式，对学生开展爱国主义、心理健康、法律法规、道路交通安全等各项教育。二是注重以民族传统节日、重大纪念日为契机，开展文化主题活动。在第61个“学雷锋纪念日”到来之际，我校</w:t>
      </w:r>
      <w:r>
        <w:rPr>
          <w:rFonts w:hint="eastAsia" w:ascii="仿宋" w:hAnsi="仿宋" w:eastAsia="仿宋" w:cs="仿宋"/>
          <w:color w:val="auto"/>
          <w:sz w:val="32"/>
          <w:szCs w:val="32"/>
        </w:rPr>
        <w:t>在食堂开展了“珍惜粮食 不负‘食’光”学雷锋之光盘行动志愿服务活动，呼吁全体师生将节约粮食、反对浪费的理念融入日常生活，共同为建设节约型校园、推动社会文明进步贡献力量。</w:t>
      </w:r>
      <w:r>
        <w:rPr>
          <w:rFonts w:hint="eastAsia" w:ascii="仿宋" w:hAnsi="仿宋" w:eastAsia="仿宋" w:cs="仿宋"/>
          <w:color w:val="auto"/>
          <w:kern w:val="0"/>
          <w:sz w:val="32"/>
          <w:szCs w:val="32"/>
        </w:rPr>
        <w:t>为贯彻落实党的二十大精神，营造浓厚的书香校园氛围，</w:t>
      </w:r>
      <w:r>
        <w:rPr>
          <w:rFonts w:hint="eastAsia" w:ascii="仿宋" w:hAnsi="仿宋" w:eastAsia="仿宋" w:cs="仿宋"/>
          <w:color w:val="auto"/>
          <w:kern w:val="0"/>
          <w:sz w:val="32"/>
          <w:szCs w:val="32"/>
          <w:lang w:eastAsia="zh-CN"/>
        </w:rPr>
        <w:t>我校开展了</w:t>
      </w:r>
      <w:r>
        <w:rPr>
          <w:rFonts w:hint="eastAsia" w:ascii="仿宋" w:hAnsi="仿宋" w:eastAsia="仿宋" w:cs="仿宋"/>
          <w:color w:val="auto"/>
          <w:kern w:val="0"/>
          <w:sz w:val="32"/>
          <w:szCs w:val="32"/>
        </w:rPr>
        <w:t>“书香</w:t>
      </w:r>
      <w:r>
        <w:rPr>
          <w:rFonts w:hint="eastAsia" w:ascii="仿宋" w:hAnsi="仿宋" w:eastAsia="仿宋" w:cs="仿宋"/>
          <w:color w:val="auto"/>
          <w:kern w:val="0"/>
          <w:sz w:val="32"/>
          <w:szCs w:val="32"/>
          <w:lang w:eastAsia="zh-CN"/>
        </w:rPr>
        <w:t>润心灵</w:t>
      </w:r>
      <w:r>
        <w:rPr>
          <w:rFonts w:hint="eastAsia" w:ascii="仿宋" w:hAnsi="仿宋" w:eastAsia="仿宋" w:cs="仿宋"/>
          <w:color w:val="auto"/>
          <w:kern w:val="0"/>
          <w:sz w:val="32"/>
          <w:szCs w:val="32"/>
        </w:rPr>
        <w:t>”读书活动</w:t>
      </w:r>
      <w:r>
        <w:rPr>
          <w:rFonts w:hint="eastAsia" w:ascii="仿宋" w:hAnsi="仿宋" w:eastAsia="仿宋" w:cs="仿宋"/>
          <w:color w:val="auto"/>
          <w:kern w:val="0"/>
          <w:sz w:val="32"/>
          <w:szCs w:val="32"/>
          <w:lang w:eastAsia="zh-CN"/>
        </w:rPr>
        <w:t>和</w:t>
      </w: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lang w:eastAsia="zh-CN"/>
        </w:rPr>
        <w:t>诵读文学经典</w:t>
      </w:r>
      <w:r>
        <w:rPr>
          <w:rFonts w:hint="eastAsia" w:ascii="仿宋" w:hAnsi="仿宋" w:eastAsia="仿宋" w:cs="仿宋"/>
          <w:color w:val="auto"/>
          <w:kern w:val="0"/>
          <w:sz w:val="32"/>
          <w:szCs w:val="32"/>
          <w:lang w:val="en-US" w:eastAsia="zh-CN"/>
        </w:rPr>
        <w:t xml:space="preserve"> 传承优秀文化</w:t>
      </w:r>
      <w:r>
        <w:rPr>
          <w:rFonts w:hint="eastAsia" w:ascii="仿宋" w:hAnsi="仿宋" w:eastAsia="仿宋" w:cs="仿宋"/>
          <w:color w:val="auto"/>
          <w:kern w:val="0"/>
          <w:sz w:val="32"/>
          <w:szCs w:val="32"/>
        </w:rPr>
        <w:t>”为主题</w:t>
      </w:r>
      <w:r>
        <w:rPr>
          <w:rFonts w:hint="eastAsia" w:ascii="仿宋" w:hAnsi="仿宋" w:eastAsia="仿宋" w:cs="仿宋"/>
          <w:color w:val="auto"/>
          <w:kern w:val="0"/>
          <w:sz w:val="32"/>
          <w:szCs w:val="32"/>
          <w:lang w:eastAsia="zh-CN"/>
        </w:rPr>
        <w:t>的经典诵读比赛。</w:t>
      </w:r>
      <w:r>
        <w:rPr>
          <w:rFonts w:hint="eastAsia" w:ascii="仿宋" w:hAnsi="仿宋" w:eastAsia="仿宋" w:cs="仿宋"/>
          <w:color w:val="auto"/>
          <w:sz w:val="32"/>
          <w:szCs w:val="32"/>
          <w:lang w:eastAsia="zh-CN"/>
        </w:rPr>
        <w:t>在2024年中华人民共和国成立75周年华诞之际，开展了“手绘家国梦 心燃爱国情”绘画大赛、“我和国旗合个影”、“向国旗敬礼”、“保守国家秘密，你我都是主人”等系列文化活动，引导青少年学生自觉弘扬爱国主义精神，增强学生的民族自豪感和爱国热情。</w:t>
      </w:r>
    </w:p>
    <w:p w14:paraId="3FD6CC55">
      <w:pPr>
        <w:numPr>
          <w:ilvl w:val="0"/>
          <w:numId w:val="0"/>
        </w:num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lang w:eastAsia="zh-CN"/>
        </w:rPr>
        <w:t>此外，我校还通过</w:t>
      </w:r>
      <w:r>
        <w:rPr>
          <w:rFonts w:hint="eastAsia" w:ascii="仿宋" w:hAnsi="仿宋" w:eastAsia="仿宋" w:cs="仿宋"/>
          <w:i w:val="0"/>
          <w:caps w:val="0"/>
          <w:color w:val="auto"/>
          <w:spacing w:val="0"/>
          <w:sz w:val="32"/>
          <w:szCs w:val="32"/>
          <w:shd w:val="clear" w:fill="FFFFFF"/>
        </w:rPr>
        <w:t>“走进社区，服务群众”系列志愿服务，如环保宣传、助老助残</w:t>
      </w:r>
      <w:r>
        <w:rPr>
          <w:rFonts w:hint="eastAsia" w:ascii="仿宋" w:hAnsi="仿宋" w:eastAsia="仿宋" w:cs="仿宋"/>
          <w:i w:val="0"/>
          <w:caps w:val="0"/>
          <w:color w:val="auto"/>
          <w:spacing w:val="0"/>
          <w:sz w:val="32"/>
          <w:szCs w:val="32"/>
          <w:shd w:val="clear" w:fill="FFFFFF"/>
          <w:lang w:eastAsia="zh-CN"/>
        </w:rPr>
        <w:t>、红色研学</w:t>
      </w:r>
      <w:r>
        <w:rPr>
          <w:rFonts w:hint="eastAsia" w:ascii="仿宋" w:hAnsi="仿宋" w:eastAsia="仿宋" w:cs="仿宋"/>
          <w:i w:val="0"/>
          <w:caps w:val="0"/>
          <w:color w:val="auto"/>
          <w:spacing w:val="0"/>
          <w:sz w:val="32"/>
          <w:szCs w:val="32"/>
          <w:shd w:val="clear" w:fill="FFFFFF"/>
        </w:rPr>
        <w:t>等，让学生走出校园，接触社会，培养了他们的社会责任感和公民意识。</w:t>
      </w:r>
      <w:r>
        <w:rPr>
          <w:rFonts w:hint="eastAsia" w:ascii="仿宋" w:hAnsi="仿宋" w:eastAsia="仿宋" w:cs="仿宋"/>
          <w:i w:val="0"/>
          <w:caps w:val="0"/>
          <w:color w:val="auto"/>
          <w:spacing w:val="0"/>
          <w:sz w:val="32"/>
          <w:szCs w:val="32"/>
          <w:shd w:val="clear" w:fill="FFFFFF"/>
          <w:lang w:eastAsia="zh-CN"/>
        </w:rPr>
        <w:t>丰富的校园活动</w:t>
      </w:r>
      <w:r>
        <w:rPr>
          <w:rFonts w:hint="eastAsia" w:ascii="仿宋" w:hAnsi="仿宋" w:eastAsia="仿宋" w:cs="仿宋"/>
          <w:b w:val="0"/>
          <w:bCs w:val="0"/>
          <w:i w:val="0"/>
          <w:caps w:val="0"/>
          <w:color w:val="auto"/>
          <w:spacing w:val="0"/>
          <w:sz w:val="32"/>
          <w:szCs w:val="32"/>
          <w:shd w:val="clear" w:fill="FFFFFF"/>
        </w:rPr>
        <w:t>‌</w:t>
      </w:r>
      <w:r>
        <w:rPr>
          <w:rStyle w:val="20"/>
          <w:rFonts w:hint="eastAsia" w:ascii="仿宋" w:hAnsi="仿宋" w:eastAsia="仿宋" w:cs="仿宋"/>
          <w:b w:val="0"/>
          <w:bCs w:val="0"/>
          <w:i w:val="0"/>
          <w:caps w:val="0"/>
          <w:color w:val="auto"/>
          <w:spacing w:val="0"/>
          <w:sz w:val="32"/>
          <w:szCs w:val="32"/>
          <w:shd w:val="clear" w:fill="FFFFFF"/>
        </w:rPr>
        <w:t>提升了学生的综合素质</w:t>
      </w:r>
      <w:r>
        <w:rPr>
          <w:rFonts w:hint="eastAsia" w:ascii="仿宋" w:hAnsi="仿宋" w:eastAsia="仿宋" w:cs="仿宋"/>
          <w:i w:val="0"/>
          <w:caps w:val="0"/>
          <w:color w:val="auto"/>
          <w:spacing w:val="0"/>
          <w:sz w:val="32"/>
          <w:szCs w:val="32"/>
          <w:shd w:val="clear" w:fill="FFFFFF"/>
        </w:rPr>
        <w:t>‌</w:t>
      </w:r>
      <w:r>
        <w:rPr>
          <w:rFonts w:hint="eastAsia" w:ascii="仿宋" w:hAnsi="仿宋" w:eastAsia="仿宋" w:cs="仿宋"/>
          <w:i w:val="0"/>
          <w:caps w:val="0"/>
          <w:color w:val="auto"/>
          <w:spacing w:val="0"/>
          <w:sz w:val="32"/>
          <w:szCs w:val="32"/>
          <w:shd w:val="clear" w:fill="FFFFFF"/>
          <w:lang w:eastAsia="zh-CN"/>
        </w:rPr>
        <w:t>，也</w:t>
      </w:r>
      <w:r>
        <w:rPr>
          <w:rFonts w:hint="eastAsia" w:ascii="仿宋" w:hAnsi="仿宋" w:eastAsia="仿宋" w:cs="仿宋"/>
          <w:i w:val="0"/>
          <w:caps w:val="0"/>
          <w:color w:val="auto"/>
          <w:spacing w:val="0"/>
          <w:sz w:val="32"/>
          <w:szCs w:val="32"/>
          <w:shd w:val="clear" w:fill="FFFFFF"/>
        </w:rPr>
        <w:t>促进了</w:t>
      </w:r>
      <w:r>
        <w:rPr>
          <w:rFonts w:hint="eastAsia" w:ascii="仿宋" w:hAnsi="仿宋" w:eastAsia="仿宋" w:cs="仿宋"/>
          <w:i w:val="0"/>
          <w:caps w:val="0"/>
          <w:color w:val="auto"/>
          <w:spacing w:val="0"/>
          <w:sz w:val="32"/>
          <w:szCs w:val="32"/>
          <w:shd w:val="clear" w:fill="FFFFFF"/>
          <w:lang w:eastAsia="zh-CN"/>
        </w:rPr>
        <w:t>师生之间、学生之间</w:t>
      </w:r>
      <w:r>
        <w:rPr>
          <w:rFonts w:hint="eastAsia" w:ascii="仿宋" w:hAnsi="仿宋" w:eastAsia="仿宋" w:cs="仿宋"/>
          <w:i w:val="0"/>
          <w:caps w:val="0"/>
          <w:color w:val="auto"/>
          <w:spacing w:val="0"/>
          <w:sz w:val="32"/>
          <w:szCs w:val="32"/>
          <w:shd w:val="clear" w:fill="FFFFFF"/>
        </w:rPr>
        <w:t>的交流与合作，增强了校园的归属感和凝聚力。</w:t>
      </w:r>
    </w:p>
    <w:p w14:paraId="3EFE8E42">
      <w:pPr>
        <w:adjustRightInd w:val="0"/>
        <w:snapToGrid w:val="0"/>
        <w:spacing w:line="560" w:lineRule="exact"/>
        <w:rPr>
          <w:rFonts w:hint="eastAsia" w:ascii="仿宋" w:hAnsi="仿宋" w:eastAsia="仿宋" w:cs="仿宋"/>
          <w:color w:val="auto"/>
          <w:szCs w:val="32"/>
          <w:lang w:eastAsia="zh-CN"/>
        </w:rPr>
      </w:pPr>
      <w:r>
        <w:rPr>
          <w:rFonts w:ascii="仿宋" w:hAnsi="仿宋" w:eastAsia="仿宋" w:cs="仿宋"/>
          <w:color w:val="auto"/>
          <w:szCs w:val="32"/>
        </w:rPr>
        <w:t>典型案例</w:t>
      </w:r>
      <w:r>
        <w:rPr>
          <w:rFonts w:hint="eastAsia" w:ascii="仿宋" w:hAnsi="仿宋" w:eastAsia="仿宋" w:cs="仿宋"/>
          <w:color w:val="auto"/>
          <w:szCs w:val="32"/>
          <w:lang w:val="en-US" w:eastAsia="zh-CN"/>
        </w:rPr>
        <w:t>3：</w:t>
      </w:r>
    </w:p>
    <w:p w14:paraId="1B77A6C5">
      <w:pPr>
        <w:adjustRightInd w:val="0"/>
        <w:snapToGrid w:val="0"/>
        <w:spacing w:line="560" w:lineRule="exact"/>
        <w:jc w:val="center"/>
        <w:rPr>
          <w:rFonts w:hint="default" w:ascii="仿宋" w:hAnsi="仿宋" w:eastAsia="仿宋" w:cs="仿宋"/>
          <w:color w:val="auto"/>
          <w:szCs w:val="32"/>
        </w:rPr>
      </w:pPr>
      <w:r>
        <w:rPr>
          <w:rFonts w:ascii="仿宋" w:hAnsi="仿宋" w:eastAsia="仿宋" w:cs="仿宋"/>
          <w:color w:val="auto"/>
          <w:szCs w:val="32"/>
        </w:rPr>
        <w:t>福州市体校开展经典诵读比赛</w:t>
      </w:r>
    </w:p>
    <w:p w14:paraId="0A636224">
      <w:pPr>
        <w:widowControl/>
        <w:ind w:firstLine="640" w:firstLineChars="2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为贯彻落实党的二十大精神，传承弘扬中华优秀语言文化，营造浓厚的书香校园氛围，进一步推动校园文化建设，教务处会同学校团委、少先队</w:t>
      </w:r>
      <w:r>
        <w:rPr>
          <w:rFonts w:hint="eastAsia" w:ascii="仿宋" w:hAnsi="仿宋" w:eastAsia="仿宋" w:cs="仿宋"/>
          <w:color w:val="auto"/>
          <w:kern w:val="0"/>
          <w:sz w:val="32"/>
          <w:szCs w:val="32"/>
          <w:lang w:eastAsia="zh-CN"/>
        </w:rPr>
        <w:t>于</w:t>
      </w:r>
      <w:r>
        <w:rPr>
          <w:rFonts w:hint="eastAsia" w:ascii="仿宋" w:hAnsi="仿宋" w:eastAsia="仿宋" w:cs="仿宋"/>
          <w:color w:val="auto"/>
          <w:kern w:val="0"/>
          <w:sz w:val="32"/>
          <w:szCs w:val="32"/>
          <w:lang w:val="en-US" w:eastAsia="zh-CN"/>
        </w:rPr>
        <w:t>6月14日、6月21日举办了小学初中组及中专组的经典诵读比赛。本次比赛</w:t>
      </w:r>
      <w:r>
        <w:rPr>
          <w:rFonts w:hint="eastAsia" w:ascii="仿宋" w:hAnsi="仿宋" w:eastAsia="仿宋" w:cs="仿宋"/>
          <w:color w:val="auto"/>
          <w:kern w:val="0"/>
          <w:sz w:val="32"/>
          <w:szCs w:val="32"/>
        </w:rPr>
        <w:t>以</w:t>
      </w:r>
      <w:r>
        <w:rPr>
          <w:rFonts w:ascii="仿宋" w:hAnsi="仿宋" w:eastAsia="仿宋" w:cs="仿宋"/>
          <w:color w:val="auto"/>
          <w:kern w:val="0"/>
          <w:sz w:val="32"/>
          <w:szCs w:val="32"/>
        </w:rPr>
        <w:t>“</w:t>
      </w:r>
      <w:r>
        <w:rPr>
          <w:rFonts w:hint="eastAsia" w:ascii="仿宋" w:hAnsi="仿宋" w:eastAsia="仿宋" w:cs="仿宋"/>
          <w:color w:val="auto"/>
          <w:kern w:val="0"/>
          <w:sz w:val="32"/>
          <w:szCs w:val="32"/>
          <w:lang w:eastAsia="zh-CN"/>
        </w:rPr>
        <w:t>诵读文学经典</w:t>
      </w:r>
      <w:r>
        <w:rPr>
          <w:rFonts w:hint="eastAsia" w:ascii="仿宋" w:hAnsi="仿宋" w:eastAsia="仿宋" w:cs="仿宋"/>
          <w:color w:val="auto"/>
          <w:kern w:val="0"/>
          <w:sz w:val="32"/>
          <w:szCs w:val="32"/>
          <w:lang w:val="en-US" w:eastAsia="zh-CN"/>
        </w:rPr>
        <w:t xml:space="preserve"> 传承优秀文化</w:t>
      </w:r>
      <w:r>
        <w:rPr>
          <w:rFonts w:ascii="仿宋" w:hAnsi="仿宋" w:eastAsia="仿宋" w:cs="仿宋"/>
          <w:color w:val="auto"/>
          <w:kern w:val="0"/>
          <w:sz w:val="32"/>
          <w:szCs w:val="32"/>
        </w:rPr>
        <w:t>”</w:t>
      </w:r>
      <w:r>
        <w:rPr>
          <w:rFonts w:hint="eastAsia" w:ascii="仿宋" w:hAnsi="仿宋" w:eastAsia="仿宋" w:cs="仿宋"/>
          <w:color w:val="auto"/>
          <w:kern w:val="0"/>
          <w:sz w:val="32"/>
          <w:szCs w:val="32"/>
        </w:rPr>
        <w:t>为主题</w:t>
      </w:r>
      <w:r>
        <w:rPr>
          <w:rFonts w:hint="eastAsia" w:ascii="仿宋" w:hAnsi="仿宋" w:eastAsia="仿宋" w:cs="仿宋"/>
          <w:color w:val="auto"/>
          <w:kern w:val="0"/>
          <w:sz w:val="32"/>
          <w:szCs w:val="32"/>
          <w:lang w:eastAsia="zh-CN"/>
        </w:rPr>
        <w:t>，旨在</w:t>
      </w:r>
      <w:r>
        <w:rPr>
          <w:rFonts w:hint="eastAsia" w:ascii="仿宋" w:hAnsi="仿宋" w:eastAsia="仿宋" w:cs="仿宋"/>
          <w:color w:val="auto"/>
          <w:kern w:val="0"/>
          <w:sz w:val="32"/>
          <w:szCs w:val="32"/>
        </w:rPr>
        <w:t>培养学生的爱国主义情感，提高他们对经典诗词的感受和鉴赏能力，</w:t>
      </w:r>
      <w:r>
        <w:rPr>
          <w:rFonts w:hint="eastAsia" w:ascii="仿宋" w:hAnsi="仿宋" w:eastAsia="仿宋" w:cs="仿宋"/>
          <w:color w:val="auto"/>
          <w:kern w:val="0"/>
          <w:sz w:val="32"/>
          <w:szCs w:val="32"/>
          <w:lang w:eastAsia="zh-CN"/>
        </w:rPr>
        <w:t>也</w:t>
      </w:r>
      <w:r>
        <w:rPr>
          <w:rFonts w:hint="eastAsia" w:ascii="仿宋" w:hAnsi="仿宋" w:eastAsia="仿宋" w:cs="仿宋"/>
          <w:color w:val="auto"/>
          <w:kern w:val="0"/>
          <w:sz w:val="32"/>
          <w:szCs w:val="32"/>
        </w:rPr>
        <w:t>为</w:t>
      </w:r>
      <w:r>
        <w:rPr>
          <w:rFonts w:hint="eastAsia" w:ascii="仿宋" w:hAnsi="仿宋" w:eastAsia="仿宋" w:cs="仿宋"/>
          <w:color w:val="auto"/>
          <w:kern w:val="0"/>
          <w:sz w:val="32"/>
          <w:szCs w:val="32"/>
          <w:lang w:eastAsia="zh-CN"/>
        </w:rPr>
        <w:t>五、六月</w:t>
      </w:r>
      <w:r>
        <w:rPr>
          <w:rFonts w:hint="eastAsia" w:ascii="仿宋" w:hAnsi="仿宋" w:eastAsia="仿宋" w:cs="仿宋"/>
          <w:color w:val="auto"/>
          <w:kern w:val="0"/>
          <w:sz w:val="32"/>
          <w:szCs w:val="32"/>
        </w:rPr>
        <w:t>的“书香</w:t>
      </w:r>
      <w:r>
        <w:rPr>
          <w:rFonts w:hint="eastAsia" w:ascii="仿宋" w:hAnsi="仿宋" w:eastAsia="仿宋" w:cs="仿宋"/>
          <w:color w:val="auto"/>
          <w:kern w:val="0"/>
          <w:sz w:val="32"/>
          <w:szCs w:val="32"/>
          <w:lang w:eastAsia="zh-CN"/>
        </w:rPr>
        <w:t>润心灵</w:t>
      </w:r>
      <w:r>
        <w:rPr>
          <w:rFonts w:hint="eastAsia" w:ascii="仿宋" w:hAnsi="仿宋" w:eastAsia="仿宋" w:cs="仿宋"/>
          <w:color w:val="auto"/>
          <w:kern w:val="0"/>
          <w:sz w:val="32"/>
          <w:szCs w:val="32"/>
        </w:rPr>
        <w:t>”读书活动画上圆满的句号。</w:t>
      </w:r>
    </w:p>
    <w:p w14:paraId="6DB5E0BA">
      <w:pPr>
        <w:widowControl/>
        <w:ind w:firstLine="640" w:firstLineChars="200"/>
        <w:jc w:val="left"/>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rPr>
        <w:t>所有参与的同学都精神饱满，热情洋溢地展现出了个人的风采和集体的魅力。他们的声音，抑扬顿挫，让人感受到红中华传统经典诗文给人们带来的震撼，感受到经典文化的深邃内涵与指导意义。选手们用灵活多样的方式对中华传统经典诗文做出了生动的演绎，达到文学性、思想性与艺术性，传承、学习与发展的完美统一。经过一个半小时的比赛，由学校语文老师组成的评委团评选出了小学初中组与中职组的各奖项</w:t>
      </w:r>
      <w:r>
        <w:rPr>
          <w:rFonts w:hint="eastAsia" w:ascii="仿宋" w:hAnsi="仿宋" w:eastAsia="仿宋" w:cs="仿宋"/>
          <w:color w:val="auto"/>
          <w:kern w:val="0"/>
          <w:sz w:val="32"/>
          <w:szCs w:val="32"/>
          <w:lang w:eastAsia="zh-CN"/>
        </w:rPr>
        <w:t>，并</w:t>
      </w:r>
      <w:r>
        <w:rPr>
          <w:rFonts w:hint="eastAsia" w:ascii="仿宋" w:hAnsi="仿宋" w:eastAsia="仿宋" w:cs="仿宋"/>
          <w:color w:val="auto"/>
          <w:kern w:val="0"/>
          <w:sz w:val="32"/>
          <w:szCs w:val="32"/>
        </w:rPr>
        <w:t>为获奖选手们颁发证书与奖品</w:t>
      </w:r>
      <w:r>
        <w:rPr>
          <w:rFonts w:hint="eastAsia" w:ascii="仿宋" w:hAnsi="仿宋" w:eastAsia="仿宋" w:cs="仿宋"/>
          <w:color w:val="auto"/>
          <w:kern w:val="0"/>
          <w:sz w:val="32"/>
          <w:szCs w:val="32"/>
          <w:lang w:eastAsia="zh-CN"/>
        </w:rPr>
        <w:t>。</w:t>
      </w:r>
    </w:p>
    <w:p w14:paraId="28BF852A">
      <w:pPr>
        <w:widowControl/>
        <w:ind w:firstLine="640" w:firstLineChars="2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eastAsia="zh-CN"/>
        </w:rPr>
        <w:t>通过本次活动，</w:t>
      </w:r>
      <w:r>
        <w:rPr>
          <w:rFonts w:hint="eastAsia" w:ascii="仿宋" w:hAnsi="仿宋" w:eastAsia="仿宋" w:cs="仿宋"/>
          <w:color w:val="auto"/>
          <w:kern w:val="0"/>
          <w:sz w:val="32"/>
          <w:szCs w:val="32"/>
        </w:rPr>
        <w:t>同学们吟诵中华传统经典诗文，进一步传承红色基因和华夏文明，通过诵读经典温润人生，启迪智慧，领悟中华传统文化的精髓，感受中华传统文化的魅力，提升个人的人文素养和文化底蕴，促进优秀人格的养成，铸就爱国情怀，让书香和红色思想飘溢在美丽的校园里。</w:t>
      </w:r>
    </w:p>
    <w:p w14:paraId="1A4BCC80">
      <w:pPr>
        <w:adjustRightInd w:val="0"/>
        <w:snapToGrid w:val="0"/>
        <w:spacing w:line="560" w:lineRule="exact"/>
        <w:ind w:firstLine="880" w:firstLineChars="200"/>
        <w:rPr>
          <w:rFonts w:ascii="仿宋" w:hAnsi="仿宋" w:eastAsia="仿宋" w:cs="仿宋"/>
          <w:color w:val="auto"/>
          <w:szCs w:val="32"/>
        </w:rPr>
      </w:pPr>
      <w:r>
        <w:rPr>
          <w:rFonts w:hint="eastAsia" w:ascii="宋体" w:hAnsi="宋体" w:eastAsia="宋体"/>
          <w:color w:val="auto"/>
          <w:sz w:val="44"/>
          <w:szCs w:val="44"/>
          <w:lang w:eastAsia="zh-CN"/>
        </w:rPr>
        <w:drawing>
          <wp:anchor distT="0" distB="0" distL="114300" distR="114300" simplePos="0" relativeHeight="251660288" behindDoc="1" locked="0" layoutInCell="1" allowOverlap="1">
            <wp:simplePos x="0" y="0"/>
            <wp:positionH relativeFrom="column">
              <wp:posOffset>596900</wp:posOffset>
            </wp:positionH>
            <wp:positionV relativeFrom="paragraph">
              <wp:posOffset>71755</wp:posOffset>
            </wp:positionV>
            <wp:extent cx="3942715" cy="2957830"/>
            <wp:effectExtent l="0" t="0" r="635" b="13970"/>
            <wp:wrapTight wrapText="bothSides">
              <wp:wrapPolygon>
                <wp:start x="0" y="0"/>
                <wp:lineTo x="0" y="21424"/>
                <wp:lineTo x="21499" y="21424"/>
                <wp:lineTo x="21499" y="0"/>
                <wp:lineTo x="0" y="0"/>
              </wp:wrapPolygon>
            </wp:wrapTight>
            <wp:docPr id="7" name="图片 1" descr="db03b4c12025b75a10336fafe4d0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db03b4c12025b75a10336fafe4d0269"/>
                    <pic:cNvPicPr>
                      <a:picLocks noChangeAspect="1"/>
                    </pic:cNvPicPr>
                  </pic:nvPicPr>
                  <pic:blipFill>
                    <a:blip r:embed="rId10"/>
                    <a:stretch>
                      <a:fillRect/>
                    </a:stretch>
                  </pic:blipFill>
                  <pic:spPr>
                    <a:xfrm>
                      <a:off x="0" y="0"/>
                      <a:ext cx="3942715" cy="2957830"/>
                    </a:xfrm>
                    <a:prstGeom prst="rect">
                      <a:avLst/>
                    </a:prstGeom>
                    <a:noFill/>
                    <a:ln>
                      <a:noFill/>
                    </a:ln>
                  </pic:spPr>
                </pic:pic>
              </a:graphicData>
            </a:graphic>
          </wp:anchor>
        </w:drawing>
      </w:r>
    </w:p>
    <w:p w14:paraId="51310D84">
      <w:pPr>
        <w:adjustRightInd w:val="0"/>
        <w:snapToGrid w:val="0"/>
        <w:spacing w:line="560" w:lineRule="exact"/>
        <w:ind w:firstLine="640" w:firstLineChars="200"/>
        <w:rPr>
          <w:rFonts w:ascii="仿宋" w:hAnsi="仿宋" w:eastAsia="仿宋" w:cs="仿宋"/>
          <w:color w:val="auto"/>
          <w:szCs w:val="32"/>
        </w:rPr>
      </w:pPr>
    </w:p>
    <w:p w14:paraId="77131325">
      <w:pPr>
        <w:adjustRightInd w:val="0"/>
        <w:snapToGrid w:val="0"/>
        <w:spacing w:line="560" w:lineRule="exact"/>
        <w:ind w:firstLine="640" w:firstLineChars="200"/>
        <w:rPr>
          <w:rFonts w:ascii="仿宋" w:hAnsi="仿宋" w:eastAsia="仿宋" w:cs="仿宋"/>
          <w:color w:val="auto"/>
          <w:szCs w:val="32"/>
        </w:rPr>
      </w:pPr>
    </w:p>
    <w:p w14:paraId="6ABF301D">
      <w:pPr>
        <w:adjustRightInd w:val="0"/>
        <w:snapToGrid w:val="0"/>
        <w:spacing w:line="560" w:lineRule="exact"/>
        <w:ind w:firstLine="640" w:firstLineChars="200"/>
        <w:rPr>
          <w:rFonts w:ascii="仿宋" w:hAnsi="仿宋" w:eastAsia="仿宋" w:cs="仿宋"/>
          <w:color w:val="auto"/>
          <w:szCs w:val="32"/>
        </w:rPr>
      </w:pPr>
    </w:p>
    <w:p w14:paraId="2F151F5D">
      <w:pPr>
        <w:adjustRightInd w:val="0"/>
        <w:snapToGrid w:val="0"/>
        <w:spacing w:line="560" w:lineRule="exact"/>
        <w:ind w:firstLine="640" w:firstLineChars="200"/>
        <w:rPr>
          <w:rFonts w:ascii="仿宋" w:hAnsi="仿宋" w:eastAsia="仿宋" w:cs="仿宋"/>
          <w:color w:val="auto"/>
          <w:szCs w:val="32"/>
        </w:rPr>
      </w:pPr>
    </w:p>
    <w:p w14:paraId="3408820C">
      <w:pPr>
        <w:adjustRightInd w:val="0"/>
        <w:snapToGrid w:val="0"/>
        <w:spacing w:line="560" w:lineRule="exact"/>
        <w:ind w:firstLine="640" w:firstLineChars="200"/>
        <w:rPr>
          <w:rFonts w:ascii="仿宋" w:hAnsi="仿宋" w:eastAsia="仿宋" w:cs="仿宋"/>
          <w:color w:val="auto"/>
          <w:szCs w:val="32"/>
        </w:rPr>
      </w:pPr>
    </w:p>
    <w:p w14:paraId="26783604">
      <w:pPr>
        <w:adjustRightInd w:val="0"/>
        <w:snapToGrid w:val="0"/>
        <w:spacing w:line="560" w:lineRule="exact"/>
        <w:ind w:firstLine="640" w:firstLineChars="200"/>
        <w:rPr>
          <w:rFonts w:ascii="仿宋" w:hAnsi="仿宋" w:eastAsia="仿宋" w:cs="仿宋"/>
          <w:color w:val="auto"/>
          <w:szCs w:val="32"/>
        </w:rPr>
      </w:pPr>
    </w:p>
    <w:p w14:paraId="01428BB6">
      <w:pPr>
        <w:adjustRightInd w:val="0"/>
        <w:snapToGrid w:val="0"/>
        <w:spacing w:line="560" w:lineRule="exact"/>
        <w:ind w:firstLine="640" w:firstLineChars="200"/>
        <w:rPr>
          <w:rFonts w:ascii="仿宋" w:hAnsi="仿宋" w:eastAsia="仿宋" w:cs="仿宋"/>
          <w:color w:val="auto"/>
          <w:szCs w:val="32"/>
        </w:rPr>
      </w:pPr>
    </w:p>
    <w:p w14:paraId="7D72123F">
      <w:pPr>
        <w:adjustRightInd w:val="0"/>
        <w:snapToGrid w:val="0"/>
        <w:spacing w:line="560" w:lineRule="exact"/>
        <w:ind w:firstLine="640" w:firstLineChars="200"/>
        <w:rPr>
          <w:rFonts w:ascii="仿宋" w:hAnsi="仿宋" w:eastAsia="仿宋" w:cs="仿宋"/>
          <w:color w:val="auto"/>
          <w:szCs w:val="32"/>
        </w:rPr>
      </w:pPr>
    </w:p>
    <w:p w14:paraId="70FF3F7C">
      <w:pPr>
        <w:adjustRightInd w:val="0"/>
        <w:snapToGrid w:val="0"/>
        <w:spacing w:line="560" w:lineRule="exact"/>
        <w:ind w:firstLine="640" w:firstLineChars="200"/>
        <w:rPr>
          <w:rFonts w:hint="default" w:ascii="仿宋" w:hAnsi="仿宋" w:eastAsia="仿宋" w:cs="仿宋"/>
          <w:color w:val="auto"/>
          <w:szCs w:val="32"/>
        </w:rPr>
      </w:pPr>
      <w:r>
        <w:rPr>
          <w:rFonts w:ascii="仿宋" w:hAnsi="仿宋" w:eastAsia="仿宋" w:cs="仿宋"/>
          <w:color w:val="auto"/>
          <w:szCs w:val="32"/>
        </w:rPr>
        <w:t>图</w:t>
      </w:r>
      <w:r>
        <w:rPr>
          <w:rFonts w:hint="eastAsia" w:ascii="仿宋" w:hAnsi="仿宋" w:eastAsia="仿宋" w:cs="仿宋"/>
          <w:color w:val="auto"/>
          <w:szCs w:val="32"/>
          <w:lang w:val="en-US" w:eastAsia="zh-CN"/>
        </w:rPr>
        <w:t>4</w:t>
      </w:r>
      <w:r>
        <w:rPr>
          <w:rFonts w:ascii="仿宋" w:hAnsi="仿宋" w:eastAsia="仿宋" w:cs="仿宋"/>
          <w:color w:val="auto"/>
          <w:szCs w:val="32"/>
        </w:rPr>
        <w:t xml:space="preserve"> “</w:t>
      </w:r>
      <w:r>
        <w:rPr>
          <w:rFonts w:hint="eastAsia" w:ascii="仿宋" w:hAnsi="仿宋" w:eastAsia="仿宋" w:cs="仿宋"/>
          <w:color w:val="auto"/>
          <w:kern w:val="0"/>
          <w:sz w:val="32"/>
          <w:szCs w:val="32"/>
          <w:lang w:eastAsia="zh-CN"/>
        </w:rPr>
        <w:t>诵读文学经典</w:t>
      </w:r>
      <w:r>
        <w:rPr>
          <w:rFonts w:hint="eastAsia" w:ascii="仿宋" w:hAnsi="仿宋" w:eastAsia="仿宋" w:cs="仿宋"/>
          <w:color w:val="auto"/>
          <w:kern w:val="0"/>
          <w:sz w:val="32"/>
          <w:szCs w:val="32"/>
          <w:lang w:val="en-US" w:eastAsia="zh-CN"/>
        </w:rPr>
        <w:t xml:space="preserve"> 传承优秀文化</w:t>
      </w:r>
      <w:r>
        <w:rPr>
          <w:rFonts w:ascii="仿宋" w:hAnsi="仿宋" w:eastAsia="仿宋" w:cs="仿宋"/>
          <w:color w:val="auto"/>
          <w:szCs w:val="32"/>
        </w:rPr>
        <w:t>”经典诵读比赛</w:t>
      </w:r>
    </w:p>
    <w:p w14:paraId="3598852E">
      <w:pPr>
        <w:pStyle w:val="3"/>
        <w:keepNext w:val="0"/>
        <w:keepLines w:val="0"/>
        <w:adjustRightInd w:val="0"/>
        <w:snapToGrid w:val="0"/>
        <w:spacing w:line="560" w:lineRule="exact"/>
        <w:rPr>
          <w:rFonts w:hint="default" w:ascii="仿宋" w:hAnsi="仿宋" w:eastAsia="仿宋" w:cs="仿宋"/>
          <w:color w:val="auto"/>
        </w:rPr>
      </w:pPr>
      <w:r>
        <w:rPr>
          <w:rFonts w:ascii="仿宋" w:hAnsi="仿宋" w:eastAsia="仿宋" w:cs="仿宋"/>
          <w:color w:val="auto"/>
        </w:rPr>
        <w:t>4 产教融合</w:t>
      </w:r>
    </w:p>
    <w:p w14:paraId="1A2E87BC">
      <w:p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根据国家体育总局和教育部联合印发《关于深化体教融合，促进青少年健康发展的意见》，明确提出“鼓励体校与中小学校加强合作，为青少年运动员提供更好教育资源”。为进一步</w:t>
      </w:r>
      <w:r>
        <w:rPr>
          <w:rFonts w:ascii="仿宋" w:hAnsi="仿宋" w:eastAsia="仿宋" w:cs="仿宋"/>
          <w:color w:val="auto"/>
          <w:sz w:val="32"/>
          <w:szCs w:val="32"/>
        </w:rPr>
        <w:t>提高青少年运动员文化素养</w:t>
      </w:r>
      <w:r>
        <w:rPr>
          <w:rFonts w:hint="eastAsia" w:ascii="仿宋" w:hAnsi="仿宋" w:eastAsia="仿宋" w:cs="仿宋"/>
          <w:color w:val="auto"/>
          <w:sz w:val="32"/>
          <w:szCs w:val="32"/>
        </w:rPr>
        <w:t>和体育水平，推进产教融合，我校</w:t>
      </w:r>
      <w:r>
        <w:rPr>
          <w:rFonts w:ascii="仿宋" w:hAnsi="仿宋" w:eastAsia="仿宋" w:cs="仿宋"/>
          <w:color w:val="auto"/>
          <w:sz w:val="32"/>
          <w:szCs w:val="32"/>
        </w:rPr>
        <w:t>在“学训相长”上进行了积极探索</w:t>
      </w:r>
      <w:r>
        <w:rPr>
          <w:rFonts w:hint="eastAsia" w:ascii="仿宋" w:hAnsi="仿宋" w:eastAsia="仿宋" w:cs="仿宋"/>
          <w:color w:val="auto"/>
          <w:sz w:val="32"/>
          <w:szCs w:val="32"/>
        </w:rPr>
        <w:t>。</w:t>
      </w:r>
    </w:p>
    <w:p w14:paraId="50E329CE">
      <w:p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1、因材施教</w:t>
      </w:r>
    </w:p>
    <w:p w14:paraId="6F537EF4">
      <w:p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学校重视专业建设，遵循学生的认知规律及运动员成长规律，读训并重，学练结合，制订了运动训练专业人才培养方案。我校设置的运动训练专业与本科院校、高职院校中体育相关专业设置相对接，拓宽了我校学生的升学渠道。</w:t>
      </w:r>
    </w:p>
    <w:p w14:paraId="3B0FA334">
      <w:p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学生的专业教学注重因材施教，根据学生个人实际情况制定训练计划和教学模式。学校及训练部门加强对日常专业训练工作的检查和监管力度，落实训练教学大纲的完成与教案执行情况，抓好冬训、夏训，全面提升运动员学生身体素质与技战术水平，为全面完成在省级以上各项赛事中争金夺冠奠定基础。加强科训结合，强化重点运动员的监督与监控，全面开展运动员的生化指标与体能指标的测试，同时进一步完善运动员营养配餐与伤病员治疗与康复力度。</w:t>
      </w:r>
    </w:p>
    <w:p w14:paraId="1E68939B">
      <w:p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针对学生的专业特点和升学需要，学生实行分类分层教学。对于具备二级运动员及以上证书的学生，目标定为参加高水平运动队招生考试及体育单招考试。学校在确保他们顺利通过学业水平考试后，主要加强单招文化考试科目语文、数学、英语、德育的教学与辅导，争取在文化考试中全部能达到文考合格线；另一部分未能获得二级运动员证书</w:t>
      </w:r>
      <w:r>
        <w:rPr>
          <w:rFonts w:hint="eastAsia" w:ascii="仿宋" w:hAnsi="仿宋" w:eastAsia="仿宋" w:cs="仿宋"/>
          <w:color w:val="auto"/>
          <w:sz w:val="32"/>
          <w:szCs w:val="32"/>
          <w:lang w:eastAsia="zh-CN"/>
        </w:rPr>
        <w:t>的</w:t>
      </w:r>
      <w:r>
        <w:rPr>
          <w:rFonts w:hint="eastAsia" w:ascii="仿宋" w:hAnsi="仿宋" w:eastAsia="仿宋" w:cs="仿宋"/>
          <w:color w:val="auto"/>
          <w:sz w:val="32"/>
          <w:szCs w:val="32"/>
        </w:rPr>
        <w:t>学生，他们的目标是参加高职分类考试。对这类学生，学校主要加强学业水平考试相关科目的教学与辅导，争取让他们在等级性考试中能获得较好成绩。学业考试结束后，利用专项训练时间重点对体育类专业技术考试项目开展集中强化训练，以提升专业技术能力水平。</w:t>
      </w:r>
      <w:r>
        <w:rPr>
          <w:rFonts w:hint="eastAsia" w:ascii="仿宋" w:hAnsi="仿宋" w:eastAsia="仿宋" w:cs="仿宋"/>
          <w:color w:val="auto"/>
          <w:sz w:val="32"/>
          <w:szCs w:val="32"/>
          <w:lang w:val="en-US" w:eastAsia="zh-CN"/>
        </w:rPr>
        <w:t>2023-2024学年</w:t>
      </w:r>
      <w:r>
        <w:rPr>
          <w:rFonts w:hint="eastAsia" w:ascii="仿宋_GB2312" w:hAnsi="仿宋_GB2312" w:eastAsia="仿宋_GB2312" w:cs="仿宋_GB2312"/>
          <w:color w:val="auto"/>
          <w:sz w:val="32"/>
          <w:szCs w:val="32"/>
          <w:highlight w:val="none"/>
          <w:lang w:val="en-US" w:eastAsia="zh-CN"/>
        </w:rPr>
        <w:t>共32名学生被本科院校录取，13名学生被专科院校录取。</w:t>
      </w:r>
    </w:p>
    <w:p w14:paraId="6EC17620">
      <w:p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我校满足</w:t>
      </w:r>
      <w:r>
        <w:rPr>
          <w:rFonts w:ascii="仿宋" w:hAnsi="仿宋" w:eastAsia="仿宋" w:cs="仿宋"/>
          <w:color w:val="auto"/>
          <w:sz w:val="32"/>
          <w:szCs w:val="32"/>
        </w:rPr>
        <w:t>文化课与训练课的不同特点和需求</w:t>
      </w:r>
      <w:r>
        <w:rPr>
          <w:rFonts w:hint="eastAsia" w:ascii="仿宋" w:hAnsi="仿宋" w:eastAsia="仿宋" w:cs="仿宋"/>
          <w:color w:val="auto"/>
          <w:sz w:val="32"/>
          <w:szCs w:val="32"/>
        </w:rPr>
        <w:t>，</w:t>
      </w:r>
      <w:r>
        <w:rPr>
          <w:rFonts w:ascii="仿宋" w:hAnsi="仿宋" w:eastAsia="仿宋" w:cs="仿宋"/>
          <w:color w:val="auto"/>
          <w:sz w:val="32"/>
          <w:szCs w:val="32"/>
        </w:rPr>
        <w:t>文化教育、体育训练“两手抓、两手硬”，形成</w:t>
      </w:r>
      <w:r>
        <w:rPr>
          <w:rFonts w:hint="eastAsia" w:ascii="仿宋" w:hAnsi="仿宋" w:eastAsia="仿宋" w:cs="仿宋"/>
          <w:color w:val="auto"/>
          <w:sz w:val="32"/>
          <w:szCs w:val="32"/>
        </w:rPr>
        <w:t>了</w:t>
      </w:r>
      <w:r>
        <w:rPr>
          <w:rFonts w:ascii="仿宋" w:hAnsi="仿宋" w:eastAsia="仿宋" w:cs="仿宋"/>
          <w:color w:val="auto"/>
          <w:sz w:val="32"/>
          <w:szCs w:val="32"/>
        </w:rPr>
        <w:t>协同育人的新机制。</w:t>
      </w:r>
      <w:r>
        <w:rPr>
          <w:rFonts w:hint="eastAsia" w:ascii="仿宋" w:hAnsi="仿宋" w:eastAsia="仿宋" w:cs="仿宋"/>
          <w:color w:val="auto"/>
          <w:sz w:val="32"/>
          <w:szCs w:val="32"/>
        </w:rPr>
        <w:t>随着</w:t>
      </w:r>
      <w:r>
        <w:rPr>
          <w:rFonts w:ascii="仿宋" w:hAnsi="仿宋" w:eastAsia="仿宋" w:cs="仿宋"/>
          <w:color w:val="auto"/>
          <w:sz w:val="32"/>
          <w:szCs w:val="32"/>
        </w:rPr>
        <w:t>体校文化课</w:t>
      </w:r>
      <w:r>
        <w:rPr>
          <w:rFonts w:hint="eastAsia" w:ascii="仿宋" w:hAnsi="仿宋" w:eastAsia="仿宋" w:cs="仿宋"/>
          <w:color w:val="auto"/>
          <w:sz w:val="32"/>
          <w:szCs w:val="32"/>
        </w:rPr>
        <w:t>和专业课教师</w:t>
      </w:r>
      <w:r>
        <w:rPr>
          <w:rFonts w:ascii="仿宋" w:hAnsi="仿宋" w:eastAsia="仿宋" w:cs="仿宋"/>
          <w:color w:val="auto"/>
          <w:sz w:val="32"/>
          <w:szCs w:val="32"/>
        </w:rPr>
        <w:t>师资队伍建设</w:t>
      </w:r>
      <w:r>
        <w:rPr>
          <w:rFonts w:hint="eastAsia" w:ascii="仿宋" w:hAnsi="仿宋" w:eastAsia="仿宋" w:cs="仿宋"/>
          <w:color w:val="auto"/>
          <w:sz w:val="32"/>
          <w:szCs w:val="32"/>
        </w:rPr>
        <w:t>不断加强</w:t>
      </w:r>
      <w:r>
        <w:rPr>
          <w:rFonts w:ascii="仿宋" w:hAnsi="仿宋" w:eastAsia="仿宋" w:cs="仿宋"/>
          <w:color w:val="auto"/>
          <w:sz w:val="32"/>
          <w:szCs w:val="32"/>
        </w:rPr>
        <w:t>，运动员文化教育水平</w:t>
      </w:r>
      <w:r>
        <w:rPr>
          <w:rFonts w:hint="eastAsia" w:ascii="仿宋" w:hAnsi="仿宋" w:eastAsia="仿宋" w:cs="仿宋"/>
          <w:color w:val="auto"/>
          <w:sz w:val="32"/>
          <w:szCs w:val="32"/>
        </w:rPr>
        <w:t>和专业技术能力得到</w:t>
      </w:r>
      <w:r>
        <w:rPr>
          <w:rFonts w:ascii="仿宋" w:hAnsi="仿宋" w:eastAsia="仿宋" w:cs="仿宋"/>
          <w:color w:val="auto"/>
          <w:sz w:val="32"/>
          <w:szCs w:val="32"/>
        </w:rPr>
        <w:t>不断提高，青少年运动员成长之路就越走越宽。</w:t>
      </w:r>
    </w:p>
    <w:p w14:paraId="13CDE9FC">
      <w:p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2、合作共赢</w:t>
      </w:r>
    </w:p>
    <w:p w14:paraId="37224BBA">
      <w:pPr>
        <w:spacing w:line="360" w:lineRule="auto"/>
        <w:ind w:firstLine="640" w:firstLineChars="200"/>
        <w:rPr>
          <w:rFonts w:hint="default" w:ascii="仿宋" w:hAnsi="仿宋" w:eastAsia="仿宋" w:cs="仿宋"/>
          <w:color w:val="auto"/>
          <w:szCs w:val="32"/>
        </w:rPr>
      </w:pPr>
      <w:r>
        <w:rPr>
          <w:rFonts w:ascii="仿宋" w:hAnsi="仿宋" w:eastAsia="仿宋" w:cs="仿宋"/>
          <w:color w:val="auto"/>
          <w:szCs w:val="32"/>
        </w:rPr>
        <w:t>为更好提高学校竞技体育综合实力，学校与仓山区少体校、晋安区少体校、台江区少体校共建长期基层训练网点, 与马尾区少体校、仓山区少体校签订摔跤乙组、网球女队市县联办协议，与福州屏东中学、福州八中、福州第十六中学共建男子篮球、女子篮球、女子排球市队校办，指导基层网点和结对中学的体育项目训练，提升基层网点和结对中学的教练员的专业技能和训练水平及其所开展项目的提高。同时为推进福州特色体育强市建设，发挥竞技体育政治、经济、教育等综合功能，推动形成竞技体育与经济社会融合发展新局面，助力我市全方位推进高质量发展超越，做好第十八届省运会备战工作。</w:t>
      </w:r>
    </w:p>
    <w:p w14:paraId="39ACE6A5">
      <w:pPr>
        <w:spacing w:line="360" w:lineRule="auto"/>
        <w:rPr>
          <w:rFonts w:ascii="仿宋" w:hAnsi="仿宋" w:eastAsia="仿宋" w:cs="仿宋"/>
          <w:color w:val="auto"/>
          <w:szCs w:val="32"/>
        </w:rPr>
      </w:pPr>
      <w:r>
        <w:rPr>
          <w:rFonts w:hint="eastAsia" w:ascii="仿宋" w:hAnsi="仿宋" w:eastAsia="仿宋" w:cs="仿宋"/>
          <w:color w:val="auto"/>
          <w:szCs w:val="32"/>
          <w:lang w:eastAsia="zh-CN"/>
        </w:rPr>
        <w:t>经典案例</w:t>
      </w:r>
      <w:r>
        <w:rPr>
          <w:rFonts w:hint="eastAsia" w:ascii="仿宋" w:hAnsi="仿宋" w:eastAsia="仿宋" w:cs="仿宋"/>
          <w:color w:val="auto"/>
          <w:szCs w:val="32"/>
          <w:lang w:val="en-US" w:eastAsia="zh-CN"/>
        </w:rPr>
        <w:t>4</w:t>
      </w:r>
      <w:r>
        <w:rPr>
          <w:rFonts w:ascii="仿宋" w:hAnsi="仿宋" w:eastAsia="仿宋" w:cs="仿宋"/>
          <w:color w:val="auto"/>
          <w:szCs w:val="32"/>
        </w:rPr>
        <w:t>：</w:t>
      </w:r>
    </w:p>
    <w:p w14:paraId="5EF1EC99">
      <w:pPr>
        <w:ind w:firstLine="640" w:firstLineChars="200"/>
        <w:jc w:val="center"/>
        <w:rPr>
          <w:rFonts w:hint="eastAsia" w:ascii="仿宋" w:hAnsi="仿宋" w:eastAsia="仿宋" w:cs="仿宋"/>
          <w:color w:val="auto"/>
          <w:szCs w:val="32"/>
          <w:lang w:eastAsia="zh-CN"/>
        </w:rPr>
      </w:pPr>
      <w:r>
        <w:rPr>
          <w:rFonts w:hint="eastAsia" w:ascii="仿宋" w:hAnsi="仿宋" w:eastAsia="仿宋" w:cs="仿宋"/>
          <w:color w:val="auto"/>
          <w:szCs w:val="32"/>
          <w:lang w:eastAsia="zh-CN"/>
        </w:rPr>
        <w:t>搭建合作桥梁，奏响共赢乐章</w:t>
      </w:r>
    </w:p>
    <w:p w14:paraId="21B0C686">
      <w:pPr>
        <w:ind w:firstLine="640" w:firstLineChars="200"/>
        <w:rPr>
          <w:rFonts w:hint="default" w:ascii="仿宋" w:hAnsi="仿宋" w:eastAsia="仿宋" w:cs="仿宋"/>
          <w:color w:val="auto"/>
          <w:szCs w:val="32"/>
        </w:rPr>
      </w:pPr>
      <w:r>
        <w:rPr>
          <w:rFonts w:ascii="仿宋" w:hAnsi="仿宋" w:eastAsia="仿宋" w:cs="仿宋"/>
          <w:color w:val="auto"/>
          <w:szCs w:val="32"/>
        </w:rPr>
        <w:t>学校网球女队与仓山区体校签订网球女队的市县联办协议，共建女子网球训练基层网点。共建基层网点旨在整合各方资源，将体校专业的网球训练设施与仓山区、各俱乐部优秀的教练团队以及科学的训练体系带到基层训练网点。通过与基层体校、学校及俱乐部组织携手合作，为青少年们提供了接触和深入学习网球的机会，助力培养他们的运动兴趣与竞技精神。通过共建基层网点，选拔出更多优秀的网球运动苗子到市一级体校训练，这不仅为福州市网球女队储备了人才，也为青少年的全面发展提供了更多可能。在2024年的省青少年网球锦标赛上福州市女队获得1个单项第一，4个单项第二名，团体总分第三名的佳绩。</w:t>
      </w:r>
    </w:p>
    <w:p w14:paraId="75492EBC">
      <w:pPr>
        <w:ind w:firstLine="640" w:firstLineChars="200"/>
        <w:rPr>
          <w:rFonts w:hint="default" w:ascii="仿宋" w:hAnsi="仿宋" w:eastAsia="仿宋" w:cs="仿宋"/>
          <w:color w:val="auto"/>
          <w:szCs w:val="32"/>
        </w:rPr>
      </w:pPr>
      <w:r>
        <w:rPr>
          <w:rFonts w:ascii="仿宋" w:hAnsi="仿宋" w:eastAsia="仿宋" w:cs="仿宋"/>
          <w:color w:val="auto"/>
          <w:szCs w:val="32"/>
        </w:rPr>
        <w:drawing>
          <wp:inline distT="0" distB="0" distL="0" distR="0">
            <wp:extent cx="4352925" cy="2447925"/>
            <wp:effectExtent l="0" t="0" r="9525" b="9525"/>
            <wp:docPr id="8" name="图片 1" descr="微信图片_202412191555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微信图片_20241219155517.jpg"/>
                    <pic:cNvPicPr>
                      <a:picLocks noChangeAspect="1"/>
                    </pic:cNvPicPr>
                  </pic:nvPicPr>
                  <pic:blipFill>
                    <a:blip r:embed="rId11" cstate="print"/>
                    <a:stretch>
                      <a:fillRect/>
                    </a:stretch>
                  </pic:blipFill>
                  <pic:spPr>
                    <a:xfrm>
                      <a:off x="0" y="0"/>
                      <a:ext cx="4359457" cy="2452129"/>
                    </a:xfrm>
                    <a:prstGeom prst="rect">
                      <a:avLst/>
                    </a:prstGeom>
                  </pic:spPr>
                </pic:pic>
              </a:graphicData>
            </a:graphic>
          </wp:inline>
        </w:drawing>
      </w:r>
    </w:p>
    <w:p w14:paraId="57654291">
      <w:pPr>
        <w:spacing w:line="360" w:lineRule="auto"/>
        <w:ind w:firstLine="640" w:firstLineChars="200"/>
        <w:rPr>
          <w:rFonts w:hint="default" w:ascii="仿宋" w:hAnsi="仿宋" w:eastAsia="仿宋" w:cs="仿宋"/>
          <w:color w:val="auto"/>
          <w:szCs w:val="32"/>
          <w:lang w:val="zh-CN"/>
        </w:rPr>
      </w:pPr>
      <w:r>
        <w:rPr>
          <w:rFonts w:ascii="仿宋" w:hAnsi="仿宋" w:eastAsia="仿宋" w:cs="仿宋"/>
          <w:color w:val="auto"/>
          <w:szCs w:val="32"/>
          <w:lang w:val="zh-CN"/>
        </w:rPr>
        <w:t>图</w:t>
      </w:r>
      <w:r>
        <w:rPr>
          <w:rFonts w:hint="eastAsia" w:ascii="仿宋" w:hAnsi="仿宋" w:eastAsia="仿宋" w:cs="仿宋"/>
          <w:color w:val="auto"/>
          <w:szCs w:val="32"/>
          <w:lang w:val="en-US" w:eastAsia="zh-CN"/>
        </w:rPr>
        <w:t xml:space="preserve"> 5 </w:t>
      </w:r>
      <w:r>
        <w:rPr>
          <w:rFonts w:ascii="仿宋" w:hAnsi="仿宋" w:eastAsia="仿宋" w:cs="仿宋"/>
          <w:color w:val="auto"/>
          <w:szCs w:val="32"/>
          <w:lang w:val="zh-CN"/>
        </w:rPr>
        <w:t>：市队网球教练员下基层训练网点指导训练</w:t>
      </w:r>
    </w:p>
    <w:p w14:paraId="6EFDBCDA">
      <w:pPr>
        <w:pStyle w:val="3"/>
        <w:keepNext w:val="0"/>
        <w:keepLines w:val="0"/>
        <w:adjustRightInd w:val="0"/>
        <w:snapToGrid w:val="0"/>
        <w:spacing w:line="560" w:lineRule="exact"/>
        <w:rPr>
          <w:rFonts w:hint="default" w:ascii="仿宋" w:hAnsi="仿宋" w:eastAsia="仿宋" w:cs="仿宋"/>
          <w:color w:val="auto"/>
        </w:rPr>
      </w:pPr>
      <w:r>
        <w:rPr>
          <w:rFonts w:ascii="仿宋" w:hAnsi="仿宋" w:eastAsia="仿宋" w:cs="仿宋"/>
          <w:color w:val="auto"/>
        </w:rPr>
        <w:t>5 发展保障</w:t>
      </w:r>
    </w:p>
    <w:p w14:paraId="517116DD">
      <w:pPr>
        <w:pStyle w:val="4"/>
        <w:keepNext w:val="0"/>
        <w:keepLines w:val="0"/>
        <w:adjustRightInd w:val="0"/>
        <w:snapToGrid w:val="0"/>
        <w:spacing w:line="560" w:lineRule="exact"/>
        <w:ind w:firstLine="640" w:firstLineChars="200"/>
        <w:rPr>
          <w:rFonts w:hint="default" w:ascii="仿宋" w:hAnsi="仿宋" w:eastAsia="仿宋" w:cs="仿宋"/>
          <w:color w:val="auto"/>
        </w:rPr>
      </w:pPr>
      <w:r>
        <w:rPr>
          <w:rFonts w:ascii="仿宋" w:hAnsi="仿宋" w:eastAsia="仿宋" w:cs="仿宋"/>
          <w:color w:val="auto"/>
        </w:rPr>
        <w:t>5.1国家政策落实</w:t>
      </w:r>
    </w:p>
    <w:p w14:paraId="774CB88D">
      <w:pPr>
        <w:tabs>
          <w:tab w:val="left" w:pos="958"/>
          <w:tab w:val="left" w:pos="1078"/>
        </w:tabs>
        <w:adjustRightInd w:val="0"/>
        <w:snapToGrid w:val="0"/>
        <w:spacing w:line="560" w:lineRule="exact"/>
        <w:ind w:firstLine="640" w:firstLineChars="200"/>
        <w:rPr>
          <w:rFonts w:hint="default" w:ascii="仿宋" w:hAnsi="仿宋" w:eastAsia="仿宋" w:cs="仿宋"/>
          <w:color w:val="auto"/>
          <w:szCs w:val="32"/>
        </w:rPr>
      </w:pPr>
      <w:r>
        <w:rPr>
          <w:rFonts w:ascii="仿宋" w:hAnsi="仿宋" w:eastAsia="仿宋" w:cs="仿宋"/>
          <w:color w:val="auto"/>
          <w:szCs w:val="32"/>
        </w:rPr>
        <w:t>我校紧紧围绕立德树人根本任务,创新工作思路,持续做好国家资助政策宣传，充分发挥资助育人作用，促进家庭经济困难学生全面发展。我校在籍学生，均享受中职免学费政策，确保了学生免学费工作“不漏一人”。</w:t>
      </w:r>
    </w:p>
    <w:p w14:paraId="15CE7AC3">
      <w:pPr>
        <w:pStyle w:val="4"/>
        <w:keepNext w:val="0"/>
        <w:keepLines w:val="0"/>
        <w:adjustRightInd w:val="0"/>
        <w:snapToGrid w:val="0"/>
        <w:spacing w:line="560" w:lineRule="exact"/>
        <w:ind w:firstLine="640" w:firstLineChars="200"/>
        <w:rPr>
          <w:rFonts w:hint="default" w:ascii="仿宋" w:hAnsi="仿宋" w:eastAsia="仿宋" w:cs="仿宋"/>
          <w:color w:val="auto"/>
        </w:rPr>
      </w:pPr>
      <w:r>
        <w:rPr>
          <w:rFonts w:ascii="仿宋" w:hAnsi="仿宋" w:eastAsia="仿宋" w:cs="仿宋"/>
          <w:color w:val="auto"/>
        </w:rPr>
        <w:t>5.2地方政策落实</w:t>
      </w:r>
    </w:p>
    <w:p w14:paraId="4EFD55B4">
      <w:pPr>
        <w:tabs>
          <w:tab w:val="left" w:pos="958"/>
          <w:tab w:val="left" w:pos="1078"/>
        </w:tabs>
        <w:adjustRightInd w:val="0"/>
        <w:snapToGrid w:val="0"/>
        <w:spacing w:line="560" w:lineRule="exact"/>
        <w:ind w:firstLine="640" w:firstLineChars="200"/>
        <w:rPr>
          <w:rFonts w:hint="default" w:ascii="仿宋" w:hAnsi="仿宋" w:eastAsia="仿宋" w:cs="仿宋"/>
          <w:color w:val="auto"/>
          <w:szCs w:val="32"/>
        </w:rPr>
      </w:pPr>
      <w:r>
        <w:rPr>
          <w:rFonts w:ascii="仿宋" w:hAnsi="仿宋" w:eastAsia="仿宋" w:cs="仿宋"/>
          <w:color w:val="auto"/>
          <w:szCs w:val="32"/>
        </w:rPr>
        <w:t>作为福州市唯一一所中等体育学校，市体育局高度重视学校的发展，充分落实学校办学自主权，保障了学校制定政策和制度的灵活性与及时性。同时，学校重点业务的开展被纳入市体育局统一规划，并鼓励学校创新办队模式等，增加对外教学训练交流合作，进一步提升学校办学水平。</w:t>
      </w:r>
    </w:p>
    <w:p w14:paraId="725FBCFB">
      <w:pPr>
        <w:pStyle w:val="4"/>
        <w:keepNext w:val="0"/>
        <w:keepLines w:val="0"/>
        <w:adjustRightInd w:val="0"/>
        <w:snapToGrid w:val="0"/>
        <w:spacing w:line="560" w:lineRule="exact"/>
        <w:ind w:firstLine="640" w:firstLineChars="200"/>
        <w:rPr>
          <w:rFonts w:hint="default" w:ascii="仿宋" w:hAnsi="仿宋" w:eastAsia="仿宋" w:cs="仿宋"/>
          <w:color w:val="auto"/>
        </w:rPr>
      </w:pPr>
      <w:r>
        <w:rPr>
          <w:rFonts w:ascii="仿宋" w:hAnsi="仿宋" w:eastAsia="仿宋" w:cs="仿宋"/>
          <w:color w:val="auto"/>
        </w:rPr>
        <w:t>5.3学校治理</w:t>
      </w:r>
    </w:p>
    <w:p w14:paraId="11F827BB">
      <w:pPr>
        <w:tabs>
          <w:tab w:val="left" w:pos="958"/>
          <w:tab w:val="left" w:pos="1078"/>
        </w:tabs>
        <w:ind w:firstLine="640" w:firstLineChars="20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学校强化党总支领导，校长全面负责学校各项工作，定期召开行政办公会议、教职工代表大会，审议表决学校重大工作，制定并执行校务公开制度，保证政务公开透明。进一步细化行政后勤管理的各项规章制度，树立“服务学校、服务师生”的理念，增强职业道德，明确岗位职责。</w:t>
      </w:r>
    </w:p>
    <w:p w14:paraId="5B2703C8">
      <w:pPr>
        <w:tabs>
          <w:tab w:val="left" w:pos="958"/>
          <w:tab w:val="left" w:pos="1078"/>
        </w:tabs>
        <w:ind w:firstLine="640" w:firstLineChars="20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完善制度，规范管理。一是强化校务党务公开工作，对公务车辆、资金使用情况等公示栏目以及定点停放、派车、维修等管理流程进行细化完善。二是按规定做好学校人事、财务工作，确保学校工作正常运转。三是本着勤俭节约的原则，学校进一步加强对水、电、办公用品的管理和物品采购、发放、保管等环节的管理，并指定专人负责。</w:t>
      </w:r>
    </w:p>
    <w:p w14:paraId="64F327A0">
      <w:pPr>
        <w:tabs>
          <w:tab w:val="left" w:pos="958"/>
          <w:tab w:val="left" w:pos="1078"/>
        </w:tabs>
        <w:ind w:firstLine="640" w:firstLineChars="20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校园运转，后勤保障。严格按照合同条款对物业公司进行监督和管理，切实做到安全保障、环境保洁服务、工程保障、会务服务、场馆服务保障“五到位”。在科研处的指导下，食堂托管服务方为全体师生提供科学营养膳食。坚持学校领导陪餐制度，倡导节约粮食、文明就餐，持续推进文明食堂建设。</w:t>
      </w:r>
    </w:p>
    <w:p w14:paraId="3AF024DD">
      <w:pPr>
        <w:tabs>
          <w:tab w:val="left" w:pos="958"/>
          <w:tab w:val="left" w:pos="1078"/>
        </w:tabs>
        <w:ind w:firstLine="640" w:firstLineChars="20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3）平稳发展，安全先行。根据国家安全法规，健全学校安全管理制度，进一步落实校园安全、部门工作安全以及教育教学活动中各环节的安全责任等，从源头上遏制学校安全隐患。制定外来人员登记制度、安全保卫检查制度，实行24小时值班制度，值班人员尽职尽责，尤其是枪弹库必须两人同时到岗，坚守岗位，接班人不到岗，交班人不得离岗。定期开展防灾避险应急演练活动。根据应急预案定期组织开展教学、生活区域防灾应急避险演练，增强师生员工安全意识和防灾避害、自救互助能力。</w:t>
      </w:r>
    </w:p>
    <w:p w14:paraId="2C99B593">
      <w:pPr>
        <w:pStyle w:val="4"/>
        <w:keepNext w:val="0"/>
        <w:keepLines w:val="0"/>
        <w:adjustRightInd w:val="0"/>
        <w:snapToGrid w:val="0"/>
        <w:spacing w:line="560" w:lineRule="exact"/>
        <w:ind w:firstLine="640" w:firstLineChars="200"/>
        <w:rPr>
          <w:rFonts w:hint="default" w:ascii="仿宋" w:hAnsi="仿宋" w:eastAsia="仿宋" w:cs="仿宋"/>
          <w:color w:val="auto"/>
        </w:rPr>
      </w:pPr>
      <w:r>
        <w:rPr>
          <w:rFonts w:ascii="仿宋" w:hAnsi="仿宋" w:eastAsia="仿宋" w:cs="仿宋"/>
          <w:color w:val="auto"/>
        </w:rPr>
        <w:t>5.4质量保证体系建设</w:t>
      </w:r>
    </w:p>
    <w:p w14:paraId="5D452D9C">
      <w:pPr>
        <w:tabs>
          <w:tab w:val="left" w:pos="958"/>
          <w:tab w:val="left" w:pos="1078"/>
        </w:tabs>
        <w:adjustRightInd w:val="0"/>
        <w:snapToGrid w:val="0"/>
        <w:spacing w:line="560" w:lineRule="exact"/>
        <w:ind w:firstLine="640" w:firstLineChars="200"/>
        <w:rPr>
          <w:rFonts w:hint="default" w:ascii="仿宋" w:hAnsi="仿宋" w:eastAsia="仿宋" w:cs="仿宋"/>
          <w:color w:val="auto"/>
          <w:szCs w:val="32"/>
        </w:rPr>
      </w:pPr>
      <w:r>
        <w:rPr>
          <w:rFonts w:ascii="仿宋" w:hAnsi="仿宋" w:eastAsia="仿宋" w:cs="仿宋"/>
          <w:color w:val="auto"/>
          <w:szCs w:val="32"/>
        </w:rPr>
        <w:t>学校开设运动训练专业，按要求进一步修订完善人才培养方案，课程内容与体育专业标准对接，专业标准及课程标准按要求执行，课程设置及教学安排符合国家有关规定，课程开设严格执行实施性教学计划。</w:t>
      </w:r>
    </w:p>
    <w:p w14:paraId="1FC6DA47">
      <w:pPr>
        <w:tabs>
          <w:tab w:val="left" w:pos="958"/>
          <w:tab w:val="left" w:pos="1078"/>
        </w:tabs>
        <w:adjustRightInd w:val="0"/>
        <w:snapToGrid w:val="0"/>
        <w:spacing w:line="560" w:lineRule="exact"/>
        <w:ind w:firstLine="640" w:firstLineChars="200"/>
        <w:rPr>
          <w:rFonts w:hint="default" w:ascii="仿宋" w:hAnsi="仿宋" w:eastAsia="仿宋" w:cs="仿宋"/>
          <w:color w:val="auto"/>
          <w:szCs w:val="32"/>
        </w:rPr>
      </w:pPr>
      <w:r>
        <w:rPr>
          <w:rFonts w:ascii="仿宋" w:hAnsi="仿宋" w:eastAsia="仿宋" w:cs="仿宋"/>
          <w:color w:val="auto"/>
          <w:szCs w:val="32"/>
        </w:rPr>
        <w:t>学校严抓学生训练，共向上一级单位共输送30人。40人评上二级运动员，31人评上一级运动员。</w:t>
      </w:r>
    </w:p>
    <w:p w14:paraId="2D4F3FAB">
      <w:pPr>
        <w:tabs>
          <w:tab w:val="left" w:pos="958"/>
          <w:tab w:val="left" w:pos="1078"/>
        </w:tabs>
        <w:adjustRightInd w:val="0"/>
        <w:snapToGrid w:val="0"/>
        <w:spacing w:line="560" w:lineRule="exact"/>
        <w:ind w:firstLine="640" w:firstLineChars="200"/>
        <w:rPr>
          <w:rFonts w:hint="default" w:ascii="仿宋" w:hAnsi="仿宋" w:eastAsia="仿宋" w:cs="仿宋"/>
          <w:color w:val="auto"/>
          <w:szCs w:val="32"/>
        </w:rPr>
      </w:pPr>
      <w:r>
        <w:rPr>
          <w:rFonts w:ascii="仿宋" w:hAnsi="仿宋" w:eastAsia="仿宋" w:cs="仿宋"/>
          <w:color w:val="auto"/>
          <w:szCs w:val="32"/>
        </w:rPr>
        <w:t>严抓学生学业成绩考核与管理，严格执行《学生成绩考核与管理办法》。遵从福州市教育局和会考办要求，认真组织2021级、2022级学生报名参加相关科目的学业水平考试，按要求做好报考工作和组织参考工作。今年我校22级共134名学生报名参加全省中职学生计算机应用基础学业水平考试，参加考试122人，82人达到合格标准，合格率67.21%。21级共156名学生报名参加公共基础知识学业水平考试，145人参加考试，公共基础知识合格性考试有123人达到合格标准，合格率84.83%；等级性考试平均分为137.04分；156名学生报名参加专业基础知识学业水平考试,145人参加考试，合格性考试有138人达到合格标准，合格率95.17%；等级性考试平均分153.50分。</w:t>
      </w:r>
    </w:p>
    <w:p w14:paraId="5EF8B845">
      <w:pPr>
        <w:tabs>
          <w:tab w:val="left" w:pos="958"/>
          <w:tab w:val="left" w:pos="1078"/>
        </w:tabs>
        <w:adjustRightInd w:val="0"/>
        <w:snapToGrid w:val="0"/>
        <w:spacing w:line="560" w:lineRule="exact"/>
        <w:ind w:firstLine="640" w:firstLineChars="200"/>
        <w:rPr>
          <w:rFonts w:hint="default" w:ascii="仿宋" w:hAnsi="仿宋" w:eastAsia="仿宋" w:cs="仿宋"/>
          <w:color w:val="auto"/>
          <w:szCs w:val="32"/>
        </w:rPr>
      </w:pPr>
      <w:r>
        <w:rPr>
          <w:rFonts w:ascii="仿宋" w:hAnsi="仿宋" w:eastAsia="仿宋" w:cs="仿宋"/>
          <w:color w:val="auto"/>
          <w:szCs w:val="32"/>
        </w:rPr>
        <w:t>校内考试，在考场的安排、命题、监考、阅卷、成绩管理等各环节都按要求执行，试卷命题有审批，印卷及保存专人负责，监考有严格要求，改卷、成绩汇总与分析等工作规范，保证考试的严肃性、严谨性。学校成立期末考试考核领导小组，加大巡考监考力度。重视学生考试情况分析，在教学过程中注重解决发现的问题，以考促教，提高教学质量。</w:t>
      </w:r>
    </w:p>
    <w:p w14:paraId="7975FE4B">
      <w:pPr>
        <w:pStyle w:val="4"/>
        <w:keepNext w:val="0"/>
        <w:keepLines w:val="0"/>
        <w:adjustRightInd w:val="0"/>
        <w:snapToGrid w:val="0"/>
        <w:spacing w:line="560" w:lineRule="exact"/>
        <w:ind w:firstLine="640" w:firstLineChars="200"/>
        <w:rPr>
          <w:rFonts w:hint="default" w:ascii="仿宋" w:hAnsi="仿宋" w:eastAsia="仿宋" w:cs="仿宋"/>
          <w:color w:val="auto"/>
        </w:rPr>
      </w:pPr>
      <w:r>
        <w:rPr>
          <w:rFonts w:ascii="仿宋" w:hAnsi="仿宋" w:eastAsia="仿宋" w:cs="仿宋"/>
          <w:color w:val="auto"/>
        </w:rPr>
        <w:t>5.5经费投入</w:t>
      </w:r>
    </w:p>
    <w:p w14:paraId="023D3E36">
      <w:pPr>
        <w:tabs>
          <w:tab w:val="left" w:pos="958"/>
          <w:tab w:val="left" w:pos="1078"/>
        </w:tabs>
        <w:ind w:firstLine="640" w:firstLineChars="20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2023-2024学年学校各项经费总收入10341.23万元，具体如下：财政拨款10333.98万元。其中项目经费拨款8689.83万元，在校生总数425人。财政拨款是学校收入的主要来源。</w:t>
      </w:r>
    </w:p>
    <w:p w14:paraId="42A208AB">
      <w:pPr>
        <w:tabs>
          <w:tab w:val="left" w:pos="958"/>
          <w:tab w:val="left" w:pos="1078"/>
        </w:tabs>
        <w:ind w:firstLine="640" w:firstLineChars="20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2023-2024学年学校经费总支出10341.23万元，其中财政基本支出1651.40万元，财政项目支出8682.71万元，其中投入4529.92万元用于学校改扩建等基础设施的建设。事业收入支</w:t>
      </w:r>
      <w:r>
        <w:rPr>
          <w:rFonts w:hint="eastAsia" w:ascii="Times New Roman" w:hAnsi="Times New Roman" w:eastAsia="仿宋_GB2312" w:cs="Times New Roman"/>
          <w:color w:val="auto"/>
          <w:sz w:val="32"/>
          <w:szCs w:val="32"/>
          <w:lang w:eastAsia="zh-CN"/>
        </w:rPr>
        <w:t>出</w:t>
      </w:r>
      <w:r>
        <w:rPr>
          <w:rFonts w:hint="eastAsia" w:ascii="Times New Roman" w:hAnsi="Times New Roman" w:eastAsia="仿宋_GB2312" w:cs="Times New Roman"/>
          <w:color w:val="auto"/>
          <w:sz w:val="32"/>
          <w:szCs w:val="32"/>
        </w:rPr>
        <w:t>7.12万元，其他资金支出0.12万元。</w:t>
      </w:r>
    </w:p>
    <w:p w14:paraId="7F9BBB82">
      <w:pPr>
        <w:pStyle w:val="3"/>
        <w:keepNext w:val="0"/>
        <w:keepLines w:val="0"/>
        <w:adjustRightInd w:val="0"/>
        <w:snapToGrid w:val="0"/>
        <w:spacing w:line="560" w:lineRule="exact"/>
        <w:rPr>
          <w:rFonts w:hint="default" w:ascii="仿宋" w:hAnsi="仿宋" w:eastAsia="仿宋" w:cs="仿宋"/>
          <w:color w:val="auto"/>
        </w:rPr>
      </w:pPr>
      <w:r>
        <w:rPr>
          <w:rFonts w:ascii="仿宋" w:hAnsi="仿宋" w:eastAsia="仿宋" w:cs="仿宋"/>
          <w:color w:val="auto"/>
        </w:rPr>
        <w:t>6 面临挑战</w:t>
      </w:r>
    </w:p>
    <w:p w14:paraId="534EE8CA">
      <w:pPr>
        <w:adjustRightInd w:val="0"/>
        <w:snapToGrid w:val="0"/>
        <w:spacing w:line="560" w:lineRule="exact"/>
        <w:ind w:firstLine="640" w:firstLineChars="200"/>
        <w:rPr>
          <w:rFonts w:hint="default" w:ascii="仿宋" w:hAnsi="仿宋" w:eastAsia="仿宋" w:cs="仿宋"/>
          <w:color w:val="auto"/>
          <w:szCs w:val="32"/>
        </w:rPr>
      </w:pPr>
      <w:bookmarkStart w:id="14" w:name="_Hlk118554446"/>
      <w:r>
        <w:rPr>
          <w:rFonts w:ascii="仿宋" w:hAnsi="仿宋" w:eastAsia="仿宋" w:cs="仿宋"/>
          <w:color w:val="auto"/>
          <w:szCs w:val="32"/>
        </w:rPr>
        <w:t>（1）随着业务工作量的增加及队伍规模的扩大，目前现有的学校工作人员难以满足行政管理、教学、训练要求，人员编制缺口较大。</w:t>
      </w:r>
    </w:p>
    <w:bookmarkEnd w:id="14"/>
    <w:p w14:paraId="004961A4">
      <w:pPr>
        <w:adjustRightInd w:val="0"/>
        <w:snapToGrid w:val="0"/>
        <w:spacing w:line="560" w:lineRule="exact"/>
        <w:ind w:firstLine="640" w:firstLineChars="200"/>
        <w:rPr>
          <w:rFonts w:hint="default" w:ascii="仿宋" w:hAnsi="仿宋" w:eastAsia="仿宋" w:cs="仿宋"/>
          <w:color w:val="auto"/>
          <w:szCs w:val="32"/>
        </w:rPr>
      </w:pPr>
      <w:r>
        <w:rPr>
          <w:rFonts w:ascii="仿宋" w:hAnsi="仿宋" w:eastAsia="仿宋" w:cs="仿宋"/>
          <w:color w:val="auto"/>
          <w:szCs w:val="32"/>
        </w:rPr>
        <w:t>（2）在举办校园某些文化活动时，我们也遇到了一些问题和挑战。由于我校是一所竞技体育特色学校，学生上午上文化课，下午集中训练，晚上晚自习。加上运动员外出集训、比赛，流动性相对比较大，因此举办集体文化活动时间很难集中，受到一些制约。</w:t>
      </w:r>
    </w:p>
    <w:p w14:paraId="2CCD4AC8">
      <w:pPr>
        <w:pStyle w:val="9"/>
        <w:adjustRightInd w:val="0"/>
        <w:snapToGrid w:val="0"/>
        <w:spacing w:line="560" w:lineRule="exact"/>
        <w:rPr>
          <w:rFonts w:ascii="仿宋" w:hAnsi="仿宋" w:eastAsia="仿宋" w:cs="仿宋"/>
          <w:color w:val="auto"/>
        </w:rPr>
      </w:pPr>
    </w:p>
    <w:p w14:paraId="11975F65">
      <w:pPr>
        <w:pStyle w:val="9"/>
        <w:adjustRightInd w:val="0"/>
        <w:snapToGrid w:val="0"/>
        <w:spacing w:line="560" w:lineRule="exact"/>
        <w:rPr>
          <w:rFonts w:ascii="仿宋" w:hAnsi="仿宋" w:eastAsia="仿宋" w:cs="仿宋"/>
          <w:color w:val="auto"/>
        </w:rPr>
      </w:pPr>
    </w:p>
    <w:p w14:paraId="5AEB37C4">
      <w:pPr>
        <w:pStyle w:val="9"/>
        <w:adjustRightInd w:val="0"/>
        <w:snapToGrid w:val="0"/>
        <w:spacing w:line="560" w:lineRule="exact"/>
        <w:rPr>
          <w:rFonts w:ascii="仿宋" w:hAnsi="仿宋" w:eastAsia="仿宋" w:cs="仿宋"/>
          <w:color w:val="auto"/>
        </w:rPr>
      </w:pPr>
    </w:p>
    <w:p w14:paraId="1FE0D8AD">
      <w:pPr>
        <w:pStyle w:val="9"/>
        <w:adjustRightInd w:val="0"/>
        <w:snapToGrid w:val="0"/>
        <w:spacing w:line="560" w:lineRule="exact"/>
        <w:rPr>
          <w:rFonts w:ascii="仿宋" w:hAnsi="仿宋" w:eastAsia="仿宋" w:cs="仿宋"/>
          <w:color w:val="auto"/>
        </w:rPr>
      </w:pPr>
    </w:p>
    <w:p w14:paraId="7ADA6632">
      <w:pPr>
        <w:pStyle w:val="9"/>
        <w:rPr>
          <w:rFonts w:ascii="仿宋" w:hAnsi="仿宋" w:eastAsia="仿宋" w:cs="仿宋"/>
          <w:color w:val="auto"/>
        </w:rPr>
      </w:pPr>
    </w:p>
    <w:p w14:paraId="06DE34B1">
      <w:pPr>
        <w:pStyle w:val="9"/>
        <w:rPr>
          <w:rFonts w:ascii="仿宋" w:hAnsi="仿宋" w:eastAsia="仿宋" w:cs="仿宋"/>
          <w:color w:val="auto"/>
        </w:rPr>
      </w:pPr>
    </w:p>
    <w:p w14:paraId="176B5E48">
      <w:pPr>
        <w:pStyle w:val="9"/>
        <w:jc w:val="center"/>
        <w:rPr>
          <w:rFonts w:hint="eastAsia" w:eastAsia="仿宋_GB2312"/>
          <w:lang w:eastAsia="zh-CN"/>
        </w:rPr>
      </w:pPr>
      <w:r>
        <w:rPr>
          <w:rFonts w:hint="eastAsia" w:eastAsia="仿宋_GB2312"/>
          <w:lang w:eastAsia="zh-CN"/>
        </w:rPr>
        <w:drawing>
          <wp:inline distT="0" distB="0" distL="114300" distR="114300">
            <wp:extent cx="5274310" cy="3992880"/>
            <wp:effectExtent l="0" t="0" r="2540" b="7620"/>
            <wp:docPr id="1" name="图片 1" descr="表1 人才培养质量计分卡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表1 人才培养质量计分卡_new"/>
                    <pic:cNvPicPr>
                      <a:picLocks noChangeAspect="1"/>
                    </pic:cNvPicPr>
                  </pic:nvPicPr>
                  <pic:blipFill>
                    <a:blip r:embed="rId12"/>
                    <a:stretch>
                      <a:fillRect/>
                    </a:stretch>
                  </pic:blipFill>
                  <pic:spPr>
                    <a:xfrm>
                      <a:off x="0" y="0"/>
                      <a:ext cx="5274310" cy="3992880"/>
                    </a:xfrm>
                    <a:prstGeom prst="rect">
                      <a:avLst/>
                    </a:prstGeom>
                  </pic:spPr>
                </pic:pic>
              </a:graphicData>
            </a:graphic>
          </wp:inline>
        </w:drawing>
      </w:r>
      <w:r>
        <w:rPr>
          <w:rFonts w:hint="eastAsia" w:eastAsia="仿宋_GB2312"/>
          <w:lang w:eastAsia="zh-CN"/>
        </w:rPr>
        <w:drawing>
          <wp:inline distT="0" distB="0" distL="114300" distR="114300">
            <wp:extent cx="3647440" cy="8857615"/>
            <wp:effectExtent l="0" t="0" r="10160" b="635"/>
            <wp:docPr id="2" name="图片 2" descr="表3 教学资源表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表3 教学资源表_new"/>
                    <pic:cNvPicPr>
                      <a:picLocks noChangeAspect="1"/>
                    </pic:cNvPicPr>
                  </pic:nvPicPr>
                  <pic:blipFill>
                    <a:blip r:embed="rId13"/>
                    <a:stretch>
                      <a:fillRect/>
                    </a:stretch>
                  </pic:blipFill>
                  <pic:spPr>
                    <a:xfrm>
                      <a:off x="0" y="0"/>
                      <a:ext cx="3647440" cy="8857615"/>
                    </a:xfrm>
                    <a:prstGeom prst="rect">
                      <a:avLst/>
                    </a:prstGeom>
                  </pic:spPr>
                </pic:pic>
              </a:graphicData>
            </a:graphic>
          </wp:inline>
        </w:drawing>
      </w:r>
      <w:r>
        <w:rPr>
          <w:rFonts w:hint="eastAsia" w:eastAsia="仿宋_GB2312"/>
          <w:lang w:eastAsia="zh-CN"/>
        </w:rPr>
        <w:drawing>
          <wp:inline distT="0" distB="0" distL="114300" distR="114300">
            <wp:extent cx="5639435" cy="6668135"/>
            <wp:effectExtent l="0" t="0" r="18415" b="18415"/>
            <wp:docPr id="4" name="图片 4" descr="表4 服务贡献表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表4 服务贡献表_new"/>
                    <pic:cNvPicPr>
                      <a:picLocks noChangeAspect="1"/>
                    </pic:cNvPicPr>
                  </pic:nvPicPr>
                  <pic:blipFill>
                    <a:blip r:embed="rId14"/>
                    <a:srcRect l="4190" r="5189"/>
                    <a:stretch>
                      <a:fillRect/>
                    </a:stretch>
                  </pic:blipFill>
                  <pic:spPr>
                    <a:xfrm>
                      <a:off x="0" y="0"/>
                      <a:ext cx="5639435" cy="6668135"/>
                    </a:xfrm>
                    <a:prstGeom prst="rect">
                      <a:avLst/>
                    </a:prstGeom>
                  </pic:spPr>
                </pic:pic>
              </a:graphicData>
            </a:graphic>
          </wp:inline>
        </w:drawing>
      </w:r>
      <w:r>
        <w:rPr>
          <w:rFonts w:hint="eastAsia" w:eastAsia="仿宋_GB2312"/>
          <w:lang w:eastAsia="zh-CN"/>
        </w:rPr>
        <w:drawing>
          <wp:inline distT="0" distB="0" distL="114300" distR="114300">
            <wp:extent cx="5526405" cy="6190615"/>
            <wp:effectExtent l="0" t="0" r="17145" b="635"/>
            <wp:docPr id="10" name="图片 10" descr="表5 国际影响表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表5 国际影响表_new"/>
                    <pic:cNvPicPr>
                      <a:picLocks noChangeAspect="1"/>
                    </pic:cNvPicPr>
                  </pic:nvPicPr>
                  <pic:blipFill>
                    <a:blip r:embed="rId15"/>
                    <a:srcRect l="5538" r="5189"/>
                    <a:stretch>
                      <a:fillRect/>
                    </a:stretch>
                  </pic:blipFill>
                  <pic:spPr>
                    <a:xfrm>
                      <a:off x="0" y="0"/>
                      <a:ext cx="5526405" cy="6190615"/>
                    </a:xfrm>
                    <a:prstGeom prst="rect">
                      <a:avLst/>
                    </a:prstGeom>
                  </pic:spPr>
                </pic:pic>
              </a:graphicData>
            </a:graphic>
          </wp:inline>
        </w:drawing>
      </w:r>
      <w:r>
        <w:rPr>
          <w:rFonts w:hint="eastAsia" w:eastAsia="仿宋_GB2312"/>
          <w:lang w:eastAsia="zh-CN"/>
        </w:rPr>
        <w:drawing>
          <wp:inline distT="0" distB="0" distL="114300" distR="114300">
            <wp:extent cx="4857750" cy="5947410"/>
            <wp:effectExtent l="0" t="0" r="0" b="15240"/>
            <wp:docPr id="11" name="图片 11" descr="表6 落实政策表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表6 落实政策表_new"/>
                    <pic:cNvPicPr>
                      <a:picLocks noChangeAspect="1"/>
                    </pic:cNvPicPr>
                  </pic:nvPicPr>
                  <pic:blipFill>
                    <a:blip r:embed="rId16"/>
                    <a:srcRect l="13670" r="13730"/>
                    <a:stretch>
                      <a:fillRect/>
                    </a:stretch>
                  </pic:blipFill>
                  <pic:spPr>
                    <a:xfrm>
                      <a:off x="0" y="0"/>
                      <a:ext cx="4857750" cy="5947410"/>
                    </a:xfrm>
                    <a:prstGeom prst="rect">
                      <a:avLst/>
                    </a:prstGeom>
                  </pic:spPr>
                </pic:pic>
              </a:graphicData>
            </a:graphic>
          </wp:inline>
        </w:drawing>
      </w: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1479D">
    <w:pPr>
      <w:pStyle w:val="10"/>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D7447">
    <w:pPr>
      <w:pStyle w:val="10"/>
      <w:rPr>
        <w:rFonts w:hint="default"/>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6DE2B6">
                          <w:pPr>
                            <w:pStyle w:val="10"/>
                            <w:rPr>
                              <w:rFonts w:hint="default"/>
                            </w:rPr>
                          </w:pPr>
                          <w:r>
                            <w:fldChar w:fldCharType="begin"/>
                          </w:r>
                          <w:r>
                            <w:instrText xml:space="preserve"> PAGE  \* MERGEFORMAT </w:instrText>
                          </w:r>
                          <w:r>
                            <w:fldChar w:fldCharType="separate"/>
                          </w:r>
                          <w:r>
                            <w:rPr>
                              <w:rFonts w:hint="default"/>
                            </w:rP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6B6DE2B6">
                    <w:pPr>
                      <w:pStyle w:val="10"/>
                      <w:rPr>
                        <w:rFonts w:hint="default"/>
                      </w:rPr>
                    </w:pPr>
                    <w:r>
                      <w:fldChar w:fldCharType="begin"/>
                    </w:r>
                    <w:r>
                      <w:instrText xml:space="preserve"> PAGE  \* MERGEFORMAT </w:instrText>
                    </w:r>
                    <w:r>
                      <w:fldChar w:fldCharType="separate"/>
                    </w:r>
                    <w:r>
                      <w:rPr>
                        <w:rFonts w:hint="default"/>
                      </w:rPr>
                      <w:t>34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kMTVkNjUwNDBhZmJhOWJhM2M2NzYzYjI0M2RiOTAifQ=="/>
  </w:docVars>
  <w:rsids>
    <w:rsidRoot w:val="00420755"/>
    <w:rsid w:val="00012852"/>
    <w:rsid w:val="000B7074"/>
    <w:rsid w:val="000D6C7F"/>
    <w:rsid w:val="00106AE2"/>
    <w:rsid w:val="001078DA"/>
    <w:rsid w:val="00115687"/>
    <w:rsid w:val="0012350C"/>
    <w:rsid w:val="00197A0C"/>
    <w:rsid w:val="001C2DFB"/>
    <w:rsid w:val="001E07B2"/>
    <w:rsid w:val="001F3442"/>
    <w:rsid w:val="002C4AA0"/>
    <w:rsid w:val="002E3B31"/>
    <w:rsid w:val="003009E0"/>
    <w:rsid w:val="00325DF6"/>
    <w:rsid w:val="00336049"/>
    <w:rsid w:val="003972AD"/>
    <w:rsid w:val="00420755"/>
    <w:rsid w:val="004D2627"/>
    <w:rsid w:val="004F26F6"/>
    <w:rsid w:val="00523851"/>
    <w:rsid w:val="00545CC1"/>
    <w:rsid w:val="005723BD"/>
    <w:rsid w:val="005A57E7"/>
    <w:rsid w:val="005C4587"/>
    <w:rsid w:val="00603C7B"/>
    <w:rsid w:val="00642DAE"/>
    <w:rsid w:val="00683244"/>
    <w:rsid w:val="00713B69"/>
    <w:rsid w:val="00726A38"/>
    <w:rsid w:val="00743D24"/>
    <w:rsid w:val="007D012F"/>
    <w:rsid w:val="007E7873"/>
    <w:rsid w:val="00807020"/>
    <w:rsid w:val="00872C38"/>
    <w:rsid w:val="00874263"/>
    <w:rsid w:val="00887054"/>
    <w:rsid w:val="008D50E6"/>
    <w:rsid w:val="008E31FF"/>
    <w:rsid w:val="00901577"/>
    <w:rsid w:val="00904408"/>
    <w:rsid w:val="0099225A"/>
    <w:rsid w:val="00A30568"/>
    <w:rsid w:val="00A917A3"/>
    <w:rsid w:val="00A91CC0"/>
    <w:rsid w:val="00AC7B79"/>
    <w:rsid w:val="00B1059B"/>
    <w:rsid w:val="00B3624E"/>
    <w:rsid w:val="00B57922"/>
    <w:rsid w:val="00C52535"/>
    <w:rsid w:val="00D01CB5"/>
    <w:rsid w:val="00D171CB"/>
    <w:rsid w:val="00D17C16"/>
    <w:rsid w:val="00D43CF5"/>
    <w:rsid w:val="00D64136"/>
    <w:rsid w:val="00DB3214"/>
    <w:rsid w:val="00DC151B"/>
    <w:rsid w:val="00E36F85"/>
    <w:rsid w:val="00E60EA5"/>
    <w:rsid w:val="00E97EA9"/>
    <w:rsid w:val="00EE2F5F"/>
    <w:rsid w:val="00F256B8"/>
    <w:rsid w:val="00F4469B"/>
    <w:rsid w:val="03B23E6D"/>
    <w:rsid w:val="07C61A58"/>
    <w:rsid w:val="0840759C"/>
    <w:rsid w:val="0AA4754D"/>
    <w:rsid w:val="0BCA1B86"/>
    <w:rsid w:val="0CDB587B"/>
    <w:rsid w:val="0D1A3F5B"/>
    <w:rsid w:val="0E321729"/>
    <w:rsid w:val="130848D7"/>
    <w:rsid w:val="15A65BED"/>
    <w:rsid w:val="15CB0CF7"/>
    <w:rsid w:val="1BAD04B6"/>
    <w:rsid w:val="1C425407"/>
    <w:rsid w:val="1D564F1B"/>
    <w:rsid w:val="1D8437E4"/>
    <w:rsid w:val="201653D8"/>
    <w:rsid w:val="20E60AEE"/>
    <w:rsid w:val="22E5250A"/>
    <w:rsid w:val="27EF3769"/>
    <w:rsid w:val="2AA90B43"/>
    <w:rsid w:val="2B6572BE"/>
    <w:rsid w:val="2C183950"/>
    <w:rsid w:val="2D614AF8"/>
    <w:rsid w:val="31DE1410"/>
    <w:rsid w:val="37F107E6"/>
    <w:rsid w:val="388C3D0E"/>
    <w:rsid w:val="3CB06B90"/>
    <w:rsid w:val="3CFA51F9"/>
    <w:rsid w:val="40CD0C66"/>
    <w:rsid w:val="435230E6"/>
    <w:rsid w:val="44B3666F"/>
    <w:rsid w:val="4FAB46D3"/>
    <w:rsid w:val="571060CE"/>
    <w:rsid w:val="58801DB1"/>
    <w:rsid w:val="59615B4D"/>
    <w:rsid w:val="5A9E58BB"/>
    <w:rsid w:val="5C81405A"/>
    <w:rsid w:val="5D537962"/>
    <w:rsid w:val="5E547F68"/>
    <w:rsid w:val="5FB66986"/>
    <w:rsid w:val="60D94A6E"/>
    <w:rsid w:val="641C4CFC"/>
    <w:rsid w:val="66893CC8"/>
    <w:rsid w:val="6A100511"/>
    <w:rsid w:val="6C781F55"/>
    <w:rsid w:val="6D4B7EB5"/>
    <w:rsid w:val="71083271"/>
    <w:rsid w:val="78BF511F"/>
    <w:rsid w:val="7AB666B3"/>
    <w:rsid w:val="7C8E4878"/>
    <w:rsid w:val="7DF22B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pPr>
      <w:widowControl w:val="0"/>
      <w:jc w:val="both"/>
    </w:pPr>
    <w:rPr>
      <w:rFonts w:hint="eastAsia" w:ascii="Calibri" w:hAnsi="Calibri" w:eastAsia="仿宋_GB2312" w:cs="Times New Roman"/>
      <w:kern w:val="2"/>
      <w:sz w:val="32"/>
      <w:lang w:val="en-US" w:eastAsia="zh-CN" w:bidi="ar-SA"/>
    </w:rPr>
  </w:style>
  <w:style w:type="paragraph" w:styleId="2">
    <w:name w:val="heading 1"/>
    <w:basedOn w:val="1"/>
    <w:next w:val="1"/>
    <w:qFormat/>
    <w:uiPriority w:val="0"/>
    <w:pPr>
      <w:keepNext/>
      <w:keepLines/>
      <w:spacing w:before="340" w:after="330" w:line="576" w:lineRule="auto"/>
      <w:outlineLvl w:val="0"/>
    </w:pPr>
    <w:rPr>
      <w:kern w:val="44"/>
    </w:rPr>
  </w:style>
  <w:style w:type="paragraph" w:styleId="3">
    <w:name w:val="heading 2"/>
    <w:basedOn w:val="1"/>
    <w:next w:val="1"/>
    <w:unhideWhenUsed/>
    <w:qFormat/>
    <w:uiPriority w:val="0"/>
    <w:pPr>
      <w:keepNext/>
      <w:keepLines/>
      <w:spacing w:line="580" w:lineRule="exact"/>
      <w:jc w:val="left"/>
      <w:outlineLvl w:val="1"/>
    </w:pPr>
    <w:rPr>
      <w:rFonts w:ascii="Arial" w:hAnsi="Arial"/>
    </w:rPr>
  </w:style>
  <w:style w:type="paragraph" w:styleId="4">
    <w:name w:val="heading 3"/>
    <w:basedOn w:val="1"/>
    <w:next w:val="1"/>
    <w:unhideWhenUsed/>
    <w:qFormat/>
    <w:uiPriority w:val="0"/>
    <w:pPr>
      <w:keepNext/>
      <w:keepLines/>
      <w:spacing w:line="580" w:lineRule="exact"/>
      <w:outlineLvl w:val="2"/>
    </w:p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99"/>
    <w:pPr>
      <w:ind w:firstLine="420" w:firstLineChars="200"/>
    </w:pPr>
  </w:style>
  <w:style w:type="paragraph" w:styleId="6">
    <w:name w:val="caption"/>
    <w:basedOn w:val="1"/>
    <w:next w:val="1"/>
    <w:semiHidden/>
    <w:unhideWhenUsed/>
    <w:qFormat/>
    <w:uiPriority w:val="0"/>
    <w:rPr>
      <w:rFonts w:ascii="Arial" w:hAnsi="Arial" w:eastAsia="黑体"/>
      <w:sz w:val="20"/>
    </w:rPr>
  </w:style>
  <w:style w:type="paragraph" w:styleId="7">
    <w:name w:val="Body Text Indent"/>
    <w:basedOn w:val="1"/>
    <w:qFormat/>
    <w:uiPriority w:val="0"/>
    <w:pPr>
      <w:ind w:firstLine="640" w:firstLineChars="200"/>
    </w:pPr>
    <w:rPr>
      <w:rFonts w:ascii="仿宋_GB2312"/>
    </w:rPr>
  </w:style>
  <w:style w:type="paragraph" w:styleId="8">
    <w:name w:val="toc 3"/>
    <w:basedOn w:val="1"/>
    <w:next w:val="1"/>
    <w:qFormat/>
    <w:uiPriority w:val="0"/>
    <w:pPr>
      <w:ind w:left="840" w:leftChars="400"/>
    </w:pPr>
  </w:style>
  <w:style w:type="paragraph" w:styleId="9">
    <w:name w:val="Balloon Text"/>
    <w:basedOn w:val="1"/>
    <w:unhideWhenUsed/>
    <w:qFormat/>
    <w:uiPriority w:val="99"/>
    <w:rPr>
      <w:rFonts w:hint="default" w:ascii="Times New Roman" w:hAnsi="Times New Roman"/>
      <w:sz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footnote text"/>
    <w:basedOn w:val="1"/>
    <w:qFormat/>
    <w:uiPriority w:val="0"/>
    <w:pPr>
      <w:snapToGrid w:val="0"/>
      <w:jc w:val="left"/>
    </w:pPr>
    <w:rPr>
      <w:sz w:val="18"/>
    </w:rPr>
  </w:style>
  <w:style w:type="paragraph" w:styleId="13">
    <w:name w:val="table of figures"/>
    <w:basedOn w:val="1"/>
    <w:next w:val="1"/>
    <w:qFormat/>
    <w:uiPriority w:val="0"/>
    <w:pPr>
      <w:ind w:left="200" w:leftChars="200" w:hanging="200" w:hangingChars="200"/>
    </w:pPr>
  </w:style>
  <w:style w:type="paragraph" w:styleId="14">
    <w:name w:val="toc 2"/>
    <w:basedOn w:val="1"/>
    <w:next w:val="1"/>
    <w:qFormat/>
    <w:uiPriority w:val="0"/>
    <w:pPr>
      <w:ind w:left="420" w:leftChars="200"/>
    </w:pPr>
  </w:style>
  <w:style w:type="paragraph" w:styleId="1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Body Text First Indent 2"/>
    <w:basedOn w:val="7"/>
    <w:qFormat/>
    <w:uiPriority w:val="0"/>
    <w:pPr>
      <w:ind w:firstLine="420"/>
    </w:pPr>
  </w:style>
  <w:style w:type="table" w:styleId="18">
    <w:name w:val="Table Grid"/>
    <w:basedOn w:val="1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0"/>
    <w:rPr>
      <w:b/>
    </w:rPr>
  </w:style>
  <w:style w:type="character" w:styleId="21">
    <w:name w:val="footnote reference"/>
    <w:basedOn w:val="19"/>
    <w:qFormat/>
    <w:uiPriority w:val="0"/>
    <w:rPr>
      <w:vertAlign w:val="superscript"/>
    </w:rPr>
  </w:style>
  <w:style w:type="paragraph" w:customStyle="1" w:styleId="22">
    <w:name w:val="WPSOffice手动目录 1"/>
    <w:qFormat/>
    <w:uiPriority w:val="0"/>
    <w:rPr>
      <w:rFonts w:ascii="Times New Roman" w:hAnsi="Times New Roman" w:eastAsia="宋体" w:cs="Times New Roman"/>
      <w:lang w:val="en-US" w:eastAsia="zh-CN" w:bidi="ar-SA"/>
    </w:rPr>
  </w:style>
  <w:style w:type="character" w:customStyle="1" w:styleId="23">
    <w:name w:val="font31"/>
    <w:basedOn w:val="19"/>
    <w:qFormat/>
    <w:uiPriority w:val="0"/>
    <w:rPr>
      <w:rFonts w:hint="eastAsia" w:ascii="宋体" w:hAnsi="宋体" w:eastAsia="宋体" w:cs="宋体"/>
      <w:color w:val="C00000"/>
      <w:sz w:val="22"/>
      <w:szCs w:val="22"/>
      <w:u w:val="none"/>
    </w:rPr>
  </w:style>
  <w:style w:type="character" w:customStyle="1" w:styleId="24">
    <w:name w:val="font11"/>
    <w:basedOn w:val="19"/>
    <w:qFormat/>
    <w:uiPriority w:val="0"/>
    <w:rPr>
      <w:rFonts w:hint="eastAsia" w:ascii="宋体" w:hAnsi="宋体" w:eastAsia="宋体" w:cs="宋体"/>
      <w:b/>
      <w:bCs/>
      <w:color w:val="000000"/>
      <w:sz w:val="22"/>
      <w:szCs w:val="22"/>
      <w:u w:val="none"/>
    </w:rPr>
  </w:style>
  <w:style w:type="character" w:customStyle="1" w:styleId="25">
    <w:name w:val="font51"/>
    <w:basedOn w:val="19"/>
    <w:qFormat/>
    <w:uiPriority w:val="0"/>
    <w:rPr>
      <w:rFonts w:hint="eastAsia" w:ascii="宋体" w:hAnsi="宋体" w:eastAsia="宋体" w:cs="宋体"/>
      <w:b/>
      <w:bCs/>
      <w:color w:val="4BACC6"/>
      <w:sz w:val="22"/>
      <w:szCs w:val="22"/>
      <w:u w:val="none"/>
    </w:rPr>
  </w:style>
  <w:style w:type="character" w:customStyle="1" w:styleId="26">
    <w:name w:val="font91"/>
    <w:basedOn w:val="19"/>
    <w:qFormat/>
    <w:uiPriority w:val="0"/>
    <w:rPr>
      <w:rFonts w:hint="default" w:ascii="Times New Roman" w:hAnsi="Times New Roman" w:cs="Times New Roman"/>
      <w:b/>
      <w:bCs/>
      <w:color w:val="4BACC6"/>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38</Pages>
  <Words>32</Words>
  <Characters>35</Characters>
  <Lines>134</Lines>
  <Paragraphs>37</Paragraphs>
  <TotalTime>10</TotalTime>
  <ScaleCrop>false</ScaleCrop>
  <LinksUpToDate>false</LinksUpToDate>
  <CharactersWithSpaces>35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2023-12-26T07:22:00Z</dcterms:created>
  <dc:creator>lenoco</dc:creator>
  <cp:lastModifiedBy>lenoco</cp:lastModifiedBy>
  <cp:lastPrinted>2023-12-29T02:37:00Z</cp:lastPrinted>
  <dcterms:modified xsi:type="dcterms:W3CDTF">2025-03-21T07:21:32Z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2E1EDE9E236B42EB92A244D6EBA521A5_13</vt:lpwstr>
  </property>
  <property fmtid="{D5CDD505-2E9C-101B-9397-08002B2CF9AE}" pid="4" name="KSOTemplateDocerSaveRecord">
    <vt:lpwstr>eyJoZGlkIjoiMGNkMTVkNjUwNDBhZmJhOWJhM2M2NzYzYjI0M2RiOTAifQ==</vt:lpwstr>
  </property>
</Properties>
</file>