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附表2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vertAlign w:val="baseli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eastAsia="zh-CN"/>
        </w:rPr>
        <w:t>度福州市体育社会组织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赛事评估结果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vertAlign w:val="baseline"/>
          <w:lang w:val="en-US" w:eastAsia="zh-CN" w:bidi="ar"/>
        </w:rPr>
        <w:t>公示表</w:t>
      </w:r>
      <w:bookmarkEnd w:id="0"/>
    </w:p>
    <w:tbl>
      <w:tblPr>
        <w:tblStyle w:val="4"/>
        <w:tblW w:w="139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8"/>
        <w:gridCol w:w="2047"/>
        <w:gridCol w:w="1275"/>
        <w:gridCol w:w="2805"/>
        <w:gridCol w:w="1845"/>
        <w:gridCol w:w="1305"/>
        <w:gridCol w:w="1770"/>
        <w:gridCol w:w="2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8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参评单位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赛事名称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赛事总投资额（元)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赛事级别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总投资额70%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奖励金额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（元/年）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福州市先锋足球俱乐部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赛事评估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“奔跑吧.少年”儿童少年主题健身活动-2021年第五届“友谊杯”福建省青少年足球赛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116,830.00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全省性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81781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5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福州市象棋协会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赛事评估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2021年福州市象棋锦标赛（团体）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27,899.50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市级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19529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19529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7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福州市中娱青少年足球俱乐部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赛事评估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2021年福州市全民健身业余足球联赛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135,965.00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市级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95175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4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福州市海奥之星网球俱乐部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赛事评估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福州市少儿网球锦标赛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185,390.45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不符合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139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783" w:leftChars="0" w:right="0" w:rightChars="0" w:hanging="783" w:hanging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全省性赛事活动给予不超过5万元奖励；市级赛事活动给予不超过3万元奖励；每场赛事活动奖励金额不超过总投资额的70%。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778" w:leftChars="243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2.福州市海奥之星网球俱乐部不符合补助条件，不予补助。</w:t>
            </w:r>
          </w:p>
        </w:tc>
      </w:tr>
    </w:tbl>
    <w:p/>
    <w:sectPr>
      <w:pgSz w:w="16838" w:h="11906" w:orient="landscape"/>
      <w:pgMar w:top="1134" w:right="1440" w:bottom="1134" w:left="1440" w:header="851" w:footer="992" w:gutter="0"/>
      <w:paperSrc/>
      <w:cols w:space="0" w:num="1"/>
      <w:rtlGutter w:val="0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51476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仿宋_GB2312" w:hAnsi="仿宋_GB2312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2022-09-23T08:13:30Z</dcterms:created>
  <dc:creator>admin</dc:creator>
  <cp:lastModifiedBy>admin</cp:lastModifiedBy>
  <dcterms:modified xsi:type="dcterms:W3CDTF">2022-09-23T08:13:53Z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